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22FE">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outlineLvl w:val="2"/>
        <w:rPr>
          <w:rFonts w:hint="eastAsia" w:ascii="方正小标宋_GBK" w:hAnsi="方正小标宋_GBK" w:eastAsia="方正小标宋_GBK" w:cs="方正小标宋_GBK"/>
          <w:b w:val="0"/>
          <w:bCs w:val="0"/>
          <w:color w:val="auto"/>
          <w:spacing w:val="0"/>
          <w:kern w:val="21"/>
          <w:sz w:val="44"/>
          <w:szCs w:val="44"/>
          <w:lang w:eastAsia="zh-CN"/>
        </w:rPr>
      </w:pPr>
      <w:bookmarkStart w:id="0" w:name="_Toc31707182"/>
      <w:bookmarkStart w:id="1" w:name="_Toc31731803"/>
    </w:p>
    <w:p w14:paraId="418573E2">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outlineLvl w:val="2"/>
        <w:rPr>
          <w:rFonts w:hint="eastAsia" w:ascii="方正小标宋_GBK" w:hAnsi="方正小标宋_GBK" w:eastAsia="方正小标宋_GBK" w:cs="方正小标宋_GBK"/>
          <w:b w:val="0"/>
          <w:bCs w:val="0"/>
          <w:color w:val="auto"/>
          <w:spacing w:val="0"/>
          <w:kern w:val="21"/>
          <w:sz w:val="44"/>
          <w:szCs w:val="44"/>
        </w:rPr>
      </w:pPr>
      <w:r>
        <w:rPr>
          <w:rFonts w:hint="eastAsia" w:ascii="方正小标宋_GBK" w:hAnsi="方正小标宋_GBK" w:eastAsia="方正小标宋_GBK" w:cs="方正小标宋_GBK"/>
          <w:b w:val="0"/>
          <w:bCs w:val="0"/>
          <w:color w:val="auto"/>
          <w:spacing w:val="0"/>
          <w:kern w:val="21"/>
          <w:sz w:val="44"/>
          <w:szCs w:val="44"/>
          <w:lang w:eastAsia="zh-CN"/>
        </w:rPr>
        <w:t>中共广东省职教城（清远）事务中心</w:t>
      </w:r>
      <w:r>
        <w:rPr>
          <w:rFonts w:hint="eastAsia" w:ascii="方正小标宋_GBK" w:hAnsi="方正小标宋_GBK" w:eastAsia="方正小标宋_GBK" w:cs="方正小标宋_GBK"/>
          <w:b w:val="0"/>
          <w:bCs w:val="0"/>
          <w:color w:val="auto"/>
          <w:spacing w:val="0"/>
          <w:kern w:val="21"/>
          <w:sz w:val="44"/>
          <w:szCs w:val="44"/>
        </w:rPr>
        <w:t>党组</w:t>
      </w:r>
      <w:bookmarkEnd w:id="0"/>
      <w:bookmarkEnd w:id="1"/>
      <w:bookmarkStart w:id="2" w:name="_Toc31731804"/>
    </w:p>
    <w:p w14:paraId="2D743A9D">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outlineLvl w:val="2"/>
        <w:rPr>
          <w:rFonts w:hint="eastAsia" w:ascii="方正小标宋_GBK" w:hAnsi="方正小标宋_GBK" w:eastAsia="方正小标宋_GBK" w:cs="方正小标宋_GBK"/>
          <w:b w:val="0"/>
          <w:bCs w:val="0"/>
          <w:color w:val="auto"/>
          <w:spacing w:val="0"/>
          <w:kern w:val="21"/>
          <w:sz w:val="44"/>
          <w:szCs w:val="44"/>
        </w:rPr>
      </w:pPr>
      <w:r>
        <w:rPr>
          <w:rFonts w:hint="eastAsia" w:ascii="方正小标宋_GBK" w:hAnsi="方正小标宋_GBK" w:eastAsia="方正小标宋_GBK" w:cs="方正小标宋_GBK"/>
          <w:b w:val="0"/>
          <w:bCs w:val="0"/>
          <w:color w:val="auto"/>
          <w:spacing w:val="0"/>
          <w:kern w:val="21"/>
          <w:sz w:val="44"/>
          <w:szCs w:val="44"/>
        </w:rPr>
        <w:t>关于</w:t>
      </w:r>
      <w:r>
        <w:rPr>
          <w:rFonts w:hint="eastAsia" w:ascii="方正小标宋_GBK" w:hAnsi="方正小标宋_GBK" w:eastAsia="方正小标宋_GBK" w:cs="方正小标宋_GBK"/>
          <w:b w:val="0"/>
          <w:bCs w:val="0"/>
          <w:color w:val="auto"/>
          <w:spacing w:val="0"/>
          <w:kern w:val="21"/>
          <w:sz w:val="44"/>
          <w:szCs w:val="44"/>
          <w:lang w:eastAsia="zh-CN"/>
        </w:rPr>
        <w:t>八届市委第五轮</w:t>
      </w:r>
      <w:r>
        <w:rPr>
          <w:rFonts w:hint="eastAsia" w:ascii="方正小标宋_GBK" w:hAnsi="方正小标宋_GBK" w:eastAsia="方正小标宋_GBK" w:cs="方正小标宋_GBK"/>
          <w:b w:val="0"/>
          <w:bCs w:val="0"/>
          <w:color w:val="auto"/>
          <w:spacing w:val="0"/>
          <w:kern w:val="21"/>
          <w:sz w:val="44"/>
          <w:szCs w:val="44"/>
        </w:rPr>
        <w:t>巡察</w:t>
      </w:r>
      <w:r>
        <w:rPr>
          <w:rFonts w:hint="eastAsia" w:ascii="方正小标宋_GBK" w:hAnsi="方正小标宋_GBK" w:eastAsia="方正小标宋_GBK" w:cs="方正小标宋_GBK"/>
          <w:b w:val="0"/>
          <w:bCs w:val="0"/>
          <w:color w:val="auto"/>
          <w:spacing w:val="0"/>
          <w:kern w:val="21"/>
          <w:sz w:val="44"/>
          <w:szCs w:val="44"/>
          <w:lang w:eastAsia="zh-CN"/>
        </w:rPr>
        <w:t>整改进展</w:t>
      </w:r>
      <w:r>
        <w:rPr>
          <w:rFonts w:hint="eastAsia" w:ascii="方正小标宋_GBK" w:hAnsi="方正小标宋_GBK" w:eastAsia="方正小标宋_GBK" w:cs="方正小标宋_GBK"/>
          <w:b w:val="0"/>
          <w:bCs w:val="0"/>
          <w:color w:val="auto"/>
          <w:spacing w:val="0"/>
          <w:kern w:val="21"/>
          <w:sz w:val="44"/>
          <w:szCs w:val="44"/>
        </w:rPr>
        <w:t>情况</w:t>
      </w:r>
    </w:p>
    <w:p w14:paraId="4AED59C2">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outlineLvl w:val="2"/>
        <w:rPr>
          <w:rFonts w:hint="eastAsia" w:ascii="方正仿宋_GBK" w:hAnsi="方正仿宋_GBK" w:eastAsia="方正仿宋_GBK"/>
          <w:b/>
          <w:bCs w:val="0"/>
          <w:color w:val="auto"/>
          <w:spacing w:val="0"/>
          <w:kern w:val="21"/>
          <w:sz w:val="32"/>
          <w:szCs w:val="32"/>
          <w:lang w:val="en-US" w:eastAsia="zh-CN"/>
        </w:rPr>
      </w:pPr>
      <w:r>
        <w:rPr>
          <w:rFonts w:hint="eastAsia" w:ascii="方正小标宋_GBK" w:hAnsi="方正小标宋_GBK" w:eastAsia="方正小标宋_GBK" w:cs="方正小标宋_GBK"/>
          <w:b w:val="0"/>
          <w:bCs w:val="0"/>
          <w:color w:val="auto"/>
          <w:spacing w:val="0"/>
          <w:kern w:val="21"/>
          <w:sz w:val="44"/>
          <w:szCs w:val="44"/>
        </w:rPr>
        <w:t>的通报</w:t>
      </w:r>
      <w:bookmarkEnd w:id="2"/>
    </w:p>
    <w:p w14:paraId="4327B6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rPr>
      </w:pPr>
    </w:p>
    <w:p w14:paraId="4A8A8F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rPr>
      </w:pPr>
      <w:r>
        <w:rPr>
          <w:rFonts w:hint="default" w:ascii="仿宋_GB2312" w:hAnsi="仿宋_GB2312" w:eastAsia="仿宋_GB2312" w:cs="仿宋_GB2312"/>
          <w:b w:val="0"/>
          <w:bCs/>
          <w:color w:val="auto"/>
          <w:spacing w:val="0"/>
          <w:kern w:val="21"/>
          <w:sz w:val="32"/>
          <w:szCs w:val="32"/>
        </w:rPr>
        <w:t>根据</w:t>
      </w:r>
      <w:r>
        <w:rPr>
          <w:rFonts w:hint="default" w:ascii="仿宋_GB2312" w:hAnsi="仿宋_GB2312" w:eastAsia="仿宋_GB2312" w:cs="仿宋_GB2312"/>
          <w:b w:val="0"/>
          <w:bCs/>
          <w:color w:val="auto"/>
          <w:spacing w:val="0"/>
          <w:kern w:val="21"/>
          <w:sz w:val="32"/>
          <w:szCs w:val="32"/>
          <w:lang w:eastAsia="zh-CN"/>
        </w:rPr>
        <w:t>市委</w:t>
      </w:r>
      <w:r>
        <w:rPr>
          <w:rFonts w:hint="default" w:ascii="仿宋_GB2312" w:hAnsi="仿宋_GB2312" w:eastAsia="仿宋_GB2312" w:cs="仿宋_GB2312"/>
          <w:b w:val="0"/>
          <w:bCs/>
          <w:color w:val="auto"/>
          <w:spacing w:val="0"/>
          <w:kern w:val="21"/>
          <w:sz w:val="32"/>
          <w:szCs w:val="32"/>
        </w:rPr>
        <w:t>统一部署</w:t>
      </w:r>
      <w:r>
        <w:rPr>
          <w:rFonts w:hint="eastAsia" w:ascii="仿宋_GB2312" w:hAnsi="仿宋_GB2312" w:eastAsia="仿宋_GB2312" w:cs="仿宋_GB2312"/>
          <w:b w:val="0"/>
          <w:bCs/>
          <w:color w:val="auto"/>
          <w:spacing w:val="0"/>
          <w:kern w:val="21"/>
          <w:sz w:val="32"/>
          <w:szCs w:val="32"/>
        </w:rPr>
        <w:t>，2024年3月29日至6月28日，市委第二巡察组对中共广东省职教城（清远）事务中心党组</w:t>
      </w:r>
      <w:r>
        <w:rPr>
          <w:rFonts w:hint="eastAsia" w:ascii="仿宋_GB2312" w:hAnsi="仿宋_GB2312" w:eastAsia="仿宋_GB2312" w:cs="仿宋_GB2312"/>
          <w:b w:val="0"/>
          <w:bCs/>
          <w:color w:val="auto"/>
          <w:spacing w:val="0"/>
          <w:kern w:val="21"/>
          <w:sz w:val="32"/>
          <w:szCs w:val="32"/>
          <w:lang w:eastAsia="zh-CN"/>
        </w:rPr>
        <w:t>开展</w:t>
      </w:r>
      <w:r>
        <w:rPr>
          <w:rFonts w:hint="eastAsia" w:ascii="仿宋_GB2312" w:hAnsi="仿宋_GB2312" w:eastAsia="仿宋_GB2312" w:cs="仿宋_GB2312"/>
          <w:b w:val="0"/>
          <w:bCs/>
          <w:color w:val="auto"/>
          <w:spacing w:val="0"/>
          <w:kern w:val="21"/>
          <w:sz w:val="32"/>
          <w:szCs w:val="32"/>
        </w:rPr>
        <w:t>了巡察。</w:t>
      </w:r>
      <w:r>
        <w:rPr>
          <w:rFonts w:hint="eastAsia" w:ascii="仿宋_GB2312" w:hAnsi="仿宋_GB2312" w:eastAsia="仿宋_GB2312" w:cs="仿宋_GB2312"/>
          <w:b w:val="0"/>
          <w:bCs/>
          <w:color w:val="auto"/>
          <w:spacing w:val="0"/>
          <w:kern w:val="21"/>
          <w:sz w:val="32"/>
          <w:szCs w:val="32"/>
          <w:lang w:val="en-US" w:eastAsia="zh-CN"/>
        </w:rPr>
        <w:t>2024</w:t>
      </w:r>
      <w:r>
        <w:rPr>
          <w:rFonts w:hint="eastAsia" w:ascii="仿宋_GB2312" w:hAnsi="仿宋_GB2312" w:eastAsia="仿宋_GB2312" w:cs="仿宋_GB2312"/>
          <w:b w:val="0"/>
          <w:bCs/>
          <w:color w:val="auto"/>
          <w:spacing w:val="0"/>
          <w:kern w:val="21"/>
          <w:sz w:val="32"/>
          <w:szCs w:val="32"/>
        </w:rPr>
        <w:t>年</w:t>
      </w:r>
      <w:r>
        <w:rPr>
          <w:rFonts w:hint="eastAsia" w:ascii="仿宋_GB2312" w:hAnsi="仿宋_GB2312" w:eastAsia="仿宋_GB2312" w:cs="仿宋_GB2312"/>
          <w:b w:val="0"/>
          <w:bCs/>
          <w:color w:val="auto"/>
          <w:spacing w:val="0"/>
          <w:kern w:val="21"/>
          <w:sz w:val="32"/>
          <w:szCs w:val="32"/>
          <w:lang w:val="en-US" w:eastAsia="zh-CN"/>
        </w:rPr>
        <w:t>9</w:t>
      </w:r>
      <w:r>
        <w:rPr>
          <w:rFonts w:hint="eastAsia" w:ascii="仿宋_GB2312" w:hAnsi="仿宋_GB2312" w:eastAsia="仿宋_GB2312" w:cs="仿宋_GB2312"/>
          <w:b w:val="0"/>
          <w:bCs/>
          <w:color w:val="auto"/>
          <w:spacing w:val="0"/>
          <w:kern w:val="21"/>
          <w:sz w:val="32"/>
          <w:szCs w:val="32"/>
        </w:rPr>
        <w:t>月</w:t>
      </w:r>
      <w:r>
        <w:rPr>
          <w:rFonts w:hint="eastAsia" w:ascii="仿宋_GB2312" w:hAnsi="仿宋_GB2312" w:eastAsia="仿宋_GB2312" w:cs="仿宋_GB2312"/>
          <w:b w:val="0"/>
          <w:bCs/>
          <w:color w:val="auto"/>
          <w:spacing w:val="0"/>
          <w:kern w:val="21"/>
          <w:sz w:val="32"/>
          <w:szCs w:val="32"/>
          <w:lang w:val="en-US" w:eastAsia="zh-CN"/>
        </w:rPr>
        <w:t>20</w:t>
      </w:r>
      <w:r>
        <w:rPr>
          <w:rFonts w:hint="eastAsia" w:ascii="仿宋_GB2312" w:hAnsi="仿宋_GB2312" w:eastAsia="仿宋_GB2312" w:cs="仿宋_GB2312"/>
          <w:b w:val="0"/>
          <w:bCs/>
          <w:color w:val="auto"/>
          <w:spacing w:val="0"/>
          <w:kern w:val="21"/>
          <w:sz w:val="32"/>
          <w:szCs w:val="32"/>
        </w:rPr>
        <w:t>日，</w:t>
      </w:r>
      <w:r>
        <w:rPr>
          <w:rFonts w:hint="eastAsia" w:ascii="仿宋_GB2312" w:hAnsi="仿宋_GB2312" w:eastAsia="仿宋_GB2312" w:cs="仿宋_GB2312"/>
          <w:b w:val="0"/>
          <w:bCs/>
          <w:color w:val="auto"/>
          <w:spacing w:val="0"/>
          <w:kern w:val="21"/>
          <w:sz w:val="32"/>
          <w:szCs w:val="32"/>
          <w:lang w:eastAsia="zh-CN"/>
        </w:rPr>
        <w:t>市</w:t>
      </w:r>
      <w:r>
        <w:rPr>
          <w:rFonts w:hint="eastAsia" w:ascii="仿宋_GB2312" w:hAnsi="仿宋_GB2312" w:eastAsia="仿宋_GB2312" w:cs="仿宋_GB2312"/>
          <w:b w:val="0"/>
          <w:bCs/>
          <w:color w:val="auto"/>
          <w:spacing w:val="0"/>
          <w:kern w:val="21"/>
          <w:sz w:val="32"/>
          <w:szCs w:val="32"/>
        </w:rPr>
        <w:t>委第</w:t>
      </w:r>
      <w:r>
        <w:rPr>
          <w:rFonts w:hint="eastAsia" w:ascii="仿宋_GB2312" w:hAnsi="仿宋_GB2312" w:eastAsia="仿宋_GB2312" w:cs="仿宋_GB2312"/>
          <w:b w:val="0"/>
          <w:bCs/>
          <w:color w:val="auto"/>
          <w:spacing w:val="0"/>
          <w:kern w:val="21"/>
          <w:sz w:val="32"/>
          <w:szCs w:val="32"/>
          <w:lang w:eastAsia="zh-CN"/>
        </w:rPr>
        <w:t>二</w:t>
      </w:r>
      <w:r>
        <w:rPr>
          <w:rFonts w:hint="eastAsia" w:ascii="仿宋_GB2312" w:hAnsi="仿宋_GB2312" w:eastAsia="仿宋_GB2312" w:cs="仿宋_GB2312"/>
          <w:b w:val="0"/>
          <w:bCs/>
          <w:color w:val="auto"/>
          <w:spacing w:val="0"/>
          <w:kern w:val="21"/>
          <w:sz w:val="32"/>
          <w:szCs w:val="32"/>
        </w:rPr>
        <w:t>巡察组向</w:t>
      </w:r>
      <w:r>
        <w:rPr>
          <w:rFonts w:hint="eastAsia" w:ascii="仿宋_GB2312" w:hAnsi="仿宋_GB2312" w:eastAsia="仿宋_GB2312" w:cs="仿宋_GB2312"/>
          <w:b w:val="0"/>
          <w:bCs/>
          <w:color w:val="auto"/>
          <w:spacing w:val="0"/>
          <w:kern w:val="21"/>
          <w:sz w:val="32"/>
          <w:szCs w:val="32"/>
          <w:lang w:eastAsia="zh-CN"/>
        </w:rPr>
        <w:t>中共广东省职教城（清远）事务中心党</w:t>
      </w:r>
      <w:r>
        <w:rPr>
          <w:rFonts w:hint="default" w:ascii="仿宋_GB2312" w:hAnsi="仿宋_GB2312" w:eastAsia="仿宋_GB2312" w:cs="仿宋_GB2312"/>
          <w:b w:val="0"/>
          <w:bCs/>
          <w:color w:val="auto"/>
          <w:spacing w:val="0"/>
          <w:kern w:val="21"/>
          <w:sz w:val="32"/>
          <w:szCs w:val="32"/>
          <w:lang w:eastAsia="zh-CN"/>
        </w:rPr>
        <w:t>组</w:t>
      </w:r>
      <w:r>
        <w:rPr>
          <w:rFonts w:hint="default" w:ascii="仿宋_GB2312" w:hAnsi="仿宋_GB2312" w:eastAsia="仿宋_GB2312" w:cs="仿宋_GB2312"/>
          <w:b w:val="0"/>
          <w:bCs/>
          <w:color w:val="auto"/>
          <w:spacing w:val="0"/>
          <w:kern w:val="21"/>
          <w:sz w:val="32"/>
          <w:szCs w:val="32"/>
        </w:rPr>
        <w:t>反馈了巡察意见。按照巡察工作有关要求，现将巡察整改进展情况予以公布。</w:t>
      </w:r>
    </w:p>
    <w:p w14:paraId="061BFA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Times New Roman" w:hAnsi="Times New Roman" w:eastAsia="黑体" w:cs="Times New Roman"/>
          <w:b w:val="0"/>
          <w:bCs/>
          <w:color w:val="auto"/>
          <w:spacing w:val="0"/>
          <w:kern w:val="21"/>
          <w:sz w:val="32"/>
          <w:szCs w:val="32"/>
          <w:lang w:eastAsia="zh-CN"/>
        </w:rPr>
      </w:pPr>
      <w:r>
        <w:rPr>
          <w:rFonts w:hint="default" w:ascii="Times New Roman" w:hAnsi="Times New Roman" w:eastAsia="黑体" w:cs="Times New Roman"/>
          <w:b w:val="0"/>
          <w:bCs/>
          <w:color w:val="auto"/>
          <w:spacing w:val="0"/>
          <w:kern w:val="21"/>
          <w:sz w:val="32"/>
          <w:szCs w:val="32"/>
          <w:lang w:eastAsia="zh-CN"/>
        </w:rPr>
        <w:t>一、中共广东省职教城（清远）事务中心党组履行巡察整改主体责任情况</w:t>
      </w:r>
    </w:p>
    <w:p w14:paraId="6E3556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仿宋_GB2312" w:hAnsi="仿宋_GB2312" w:eastAsia="仿宋_GB2312" w:cs="仿宋_GB2312"/>
          <w:b w:val="0"/>
          <w:bCs/>
          <w:color w:val="auto"/>
          <w:spacing w:val="0"/>
          <w:kern w:val="21"/>
          <w:sz w:val="32"/>
          <w:szCs w:val="32"/>
          <w:lang w:eastAsia="zh-CN"/>
        </w:rPr>
        <w:t>中共广东省职教城（清远）事务中心党组坚持把巡察整改工作作为重要政治任务，坚持提高政治站位，全面加强组织领导，坚持问题导向，制定整改方案，逐条对照认领，不折不扣落实各项整改任务。</w:t>
      </w:r>
    </w:p>
    <w:p w14:paraId="26E1D9BC">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eastAsia="zh-CN"/>
        </w:rPr>
      </w:pPr>
      <w:r>
        <w:rPr>
          <w:rFonts w:hint="default" w:ascii="Times New Roman" w:hAnsi="Times New Roman" w:eastAsia="仿宋_GB2312" w:cs="Times New Roman"/>
          <w:b/>
          <w:bCs w:val="0"/>
          <w:snapToGrid w:val="0"/>
          <w:color w:val="auto"/>
          <w:spacing w:val="0"/>
          <w:kern w:val="21"/>
          <w:sz w:val="32"/>
          <w:szCs w:val="32"/>
          <w:highlight w:val="none"/>
          <w:lang w:eastAsia="zh-CN"/>
        </w:rPr>
        <w:t>一是</w:t>
      </w:r>
      <w:r>
        <w:rPr>
          <w:rFonts w:hint="default" w:ascii="仿宋_GB2312" w:hAnsi="仿宋_GB2312" w:eastAsia="仿宋_GB2312" w:cs="仿宋_GB2312"/>
          <w:b w:val="0"/>
          <w:bCs/>
          <w:color w:val="auto"/>
          <w:spacing w:val="0"/>
          <w:kern w:val="21"/>
          <w:sz w:val="32"/>
          <w:szCs w:val="32"/>
          <w:lang w:eastAsia="zh-CN"/>
        </w:rPr>
        <w:t>提高政治站位，凝聚思想共识。市委第</w:t>
      </w:r>
      <w:r>
        <w:rPr>
          <w:rFonts w:hint="default" w:ascii="仿宋_GB2312" w:hAnsi="仿宋_GB2312" w:eastAsia="仿宋_GB2312" w:cs="仿宋_GB2312"/>
          <w:b w:val="0"/>
          <w:bCs/>
          <w:color w:val="auto"/>
          <w:spacing w:val="0"/>
          <w:kern w:val="21"/>
          <w:sz w:val="32"/>
          <w:szCs w:val="32"/>
          <w:lang w:val="en-US" w:eastAsia="zh-CN"/>
        </w:rPr>
        <w:t>二</w:t>
      </w:r>
      <w:r>
        <w:rPr>
          <w:rFonts w:hint="default" w:ascii="仿宋_GB2312" w:hAnsi="仿宋_GB2312" w:eastAsia="仿宋_GB2312" w:cs="仿宋_GB2312"/>
          <w:b w:val="0"/>
          <w:bCs/>
          <w:color w:val="auto"/>
          <w:spacing w:val="0"/>
          <w:kern w:val="21"/>
          <w:sz w:val="32"/>
          <w:szCs w:val="32"/>
          <w:lang w:eastAsia="zh-CN"/>
        </w:rPr>
        <w:t>巡察组反馈问题后，</w:t>
      </w:r>
      <w:r>
        <w:rPr>
          <w:rFonts w:hint="default" w:ascii="仿宋_GB2312" w:hAnsi="仿宋_GB2312" w:eastAsia="仿宋_GB2312" w:cs="仿宋_GB2312"/>
          <w:b w:val="0"/>
          <w:bCs/>
          <w:color w:val="auto"/>
          <w:spacing w:val="0"/>
          <w:kern w:val="21"/>
          <w:sz w:val="32"/>
          <w:szCs w:val="32"/>
          <w:lang w:val="en-US" w:eastAsia="zh-CN"/>
        </w:rPr>
        <w:t>事务中心</w:t>
      </w:r>
      <w:r>
        <w:rPr>
          <w:rFonts w:hint="default" w:ascii="仿宋_GB2312" w:hAnsi="仿宋_GB2312" w:eastAsia="仿宋_GB2312" w:cs="仿宋_GB2312"/>
          <w:b w:val="0"/>
          <w:bCs/>
          <w:color w:val="auto"/>
          <w:spacing w:val="0"/>
          <w:kern w:val="21"/>
          <w:sz w:val="32"/>
          <w:szCs w:val="32"/>
          <w:lang w:eastAsia="zh-CN"/>
        </w:rPr>
        <w:t>党组召开</w:t>
      </w:r>
      <w:r>
        <w:rPr>
          <w:rFonts w:hint="default" w:ascii="仿宋_GB2312" w:hAnsi="仿宋_GB2312" w:eastAsia="仿宋_GB2312" w:cs="仿宋_GB2312"/>
          <w:b w:val="0"/>
          <w:bCs/>
          <w:color w:val="auto"/>
          <w:spacing w:val="0"/>
          <w:kern w:val="21"/>
          <w:sz w:val="32"/>
          <w:szCs w:val="32"/>
          <w:lang w:val="en-US" w:eastAsia="zh-CN"/>
        </w:rPr>
        <w:t>党组会议</w:t>
      </w:r>
      <w:r>
        <w:rPr>
          <w:rFonts w:hint="default" w:ascii="仿宋_GB2312" w:hAnsi="仿宋_GB2312" w:eastAsia="仿宋_GB2312" w:cs="仿宋_GB2312"/>
          <w:b w:val="0"/>
          <w:bCs/>
          <w:color w:val="auto"/>
          <w:spacing w:val="0"/>
          <w:kern w:val="21"/>
          <w:sz w:val="32"/>
          <w:szCs w:val="32"/>
          <w:lang w:eastAsia="zh-CN"/>
        </w:rPr>
        <w:t>专题研究部署巡察整改工作，</w:t>
      </w:r>
      <w:r>
        <w:rPr>
          <w:rFonts w:hint="default" w:ascii="仿宋_GB2312" w:hAnsi="仿宋_GB2312" w:eastAsia="仿宋_GB2312" w:cs="仿宋_GB2312"/>
          <w:b w:val="0"/>
          <w:bCs/>
          <w:color w:val="auto"/>
          <w:spacing w:val="0"/>
          <w:kern w:val="21"/>
          <w:sz w:val="32"/>
          <w:szCs w:val="32"/>
          <w:lang w:val="en-US" w:eastAsia="zh-CN"/>
        </w:rPr>
        <w:t>深入学习领会习近平总书记关于巡视工作的重要论述，全面贯彻落实市委巡察工作领导小组关于巡察整改工作的部署要求和市委第二巡察组反馈意见，以坚定的态度对待整改，以有力的措施抓好整改。</w:t>
      </w:r>
    </w:p>
    <w:p w14:paraId="0456C3E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eastAsia="zh-CN"/>
        </w:rPr>
      </w:pPr>
      <w:r>
        <w:rPr>
          <w:rFonts w:hint="default" w:ascii="Times New Roman" w:hAnsi="Times New Roman" w:eastAsia="仿宋_GB2312" w:cs="Times New Roman"/>
          <w:b/>
          <w:bCs w:val="0"/>
          <w:snapToGrid w:val="0"/>
          <w:color w:val="auto"/>
          <w:spacing w:val="0"/>
          <w:kern w:val="21"/>
          <w:sz w:val="32"/>
          <w:szCs w:val="32"/>
          <w:highlight w:val="none"/>
          <w:lang w:val="en-US" w:eastAsia="zh-CN"/>
        </w:rPr>
        <w:t>二是</w:t>
      </w:r>
      <w:r>
        <w:rPr>
          <w:rFonts w:hint="default" w:ascii="仿宋_GB2312" w:hAnsi="仿宋_GB2312" w:eastAsia="仿宋_GB2312" w:cs="仿宋_GB2312"/>
          <w:b w:val="0"/>
          <w:bCs/>
          <w:color w:val="auto"/>
          <w:spacing w:val="0"/>
          <w:kern w:val="21"/>
          <w:sz w:val="32"/>
          <w:szCs w:val="32"/>
          <w:lang w:val="en-US" w:eastAsia="zh-CN"/>
        </w:rPr>
        <w:t>夯实主体责任，细化整改措施。事务中心党组</w:t>
      </w:r>
      <w:r>
        <w:rPr>
          <w:rFonts w:hint="default" w:ascii="仿宋_GB2312" w:hAnsi="仿宋_GB2312" w:eastAsia="仿宋_GB2312" w:cs="仿宋_GB2312"/>
          <w:b w:val="0"/>
          <w:bCs/>
          <w:color w:val="auto"/>
          <w:spacing w:val="0"/>
          <w:kern w:val="21"/>
          <w:sz w:val="32"/>
          <w:szCs w:val="32"/>
          <w:lang w:eastAsia="zh-CN"/>
        </w:rPr>
        <w:t>结合单位实际，研究制定《中共</w:t>
      </w:r>
      <w:r>
        <w:rPr>
          <w:rFonts w:hint="default" w:ascii="仿宋_GB2312" w:hAnsi="仿宋_GB2312" w:eastAsia="仿宋_GB2312" w:cs="仿宋_GB2312"/>
          <w:b w:val="0"/>
          <w:bCs/>
          <w:color w:val="auto"/>
          <w:spacing w:val="0"/>
          <w:kern w:val="21"/>
          <w:sz w:val="32"/>
          <w:szCs w:val="32"/>
          <w:lang w:val="en-US" w:eastAsia="zh-CN"/>
        </w:rPr>
        <w:t>广东省职教城（清远）事务中心</w:t>
      </w:r>
      <w:r>
        <w:rPr>
          <w:rFonts w:hint="default" w:ascii="仿宋_GB2312" w:hAnsi="仿宋_GB2312" w:eastAsia="仿宋_GB2312" w:cs="仿宋_GB2312"/>
          <w:b w:val="0"/>
          <w:bCs/>
          <w:color w:val="auto"/>
          <w:spacing w:val="0"/>
          <w:kern w:val="21"/>
          <w:sz w:val="32"/>
          <w:szCs w:val="32"/>
          <w:lang w:eastAsia="zh-CN"/>
        </w:rPr>
        <w:t>党组</w:t>
      </w:r>
      <w:r>
        <w:rPr>
          <w:rFonts w:hint="default" w:ascii="仿宋_GB2312" w:hAnsi="仿宋_GB2312" w:eastAsia="仿宋_GB2312" w:cs="仿宋_GB2312"/>
          <w:b w:val="0"/>
          <w:bCs/>
          <w:color w:val="auto"/>
          <w:spacing w:val="0"/>
          <w:kern w:val="21"/>
          <w:sz w:val="32"/>
          <w:szCs w:val="32"/>
          <w:lang w:val="en-US" w:eastAsia="zh-CN"/>
        </w:rPr>
        <w:t>关于</w:t>
      </w:r>
      <w:r>
        <w:rPr>
          <w:rFonts w:hint="default" w:ascii="仿宋_GB2312" w:hAnsi="仿宋_GB2312" w:eastAsia="仿宋_GB2312" w:cs="仿宋_GB2312"/>
          <w:b w:val="0"/>
          <w:bCs/>
          <w:color w:val="auto"/>
          <w:spacing w:val="0"/>
          <w:kern w:val="21"/>
          <w:sz w:val="32"/>
          <w:szCs w:val="32"/>
          <w:lang w:eastAsia="zh-CN"/>
        </w:rPr>
        <w:t>落实市委巡察反馈意见</w:t>
      </w:r>
      <w:r>
        <w:rPr>
          <w:rFonts w:hint="default" w:ascii="仿宋_GB2312" w:hAnsi="仿宋_GB2312" w:eastAsia="仿宋_GB2312" w:cs="仿宋_GB2312"/>
          <w:b w:val="0"/>
          <w:bCs/>
          <w:color w:val="auto"/>
          <w:spacing w:val="0"/>
          <w:kern w:val="21"/>
          <w:sz w:val="32"/>
          <w:szCs w:val="32"/>
          <w:lang w:val="en-US" w:eastAsia="zh-CN"/>
        </w:rPr>
        <w:t>的</w:t>
      </w:r>
      <w:r>
        <w:rPr>
          <w:rFonts w:hint="default" w:ascii="仿宋_GB2312" w:hAnsi="仿宋_GB2312" w:eastAsia="仿宋_GB2312" w:cs="仿宋_GB2312"/>
          <w:b w:val="0"/>
          <w:bCs/>
          <w:color w:val="auto"/>
          <w:spacing w:val="0"/>
          <w:kern w:val="21"/>
          <w:sz w:val="32"/>
          <w:szCs w:val="32"/>
          <w:lang w:eastAsia="zh-CN"/>
        </w:rPr>
        <w:t>整改</w:t>
      </w:r>
      <w:r>
        <w:rPr>
          <w:rFonts w:hint="default" w:ascii="仿宋_GB2312" w:hAnsi="仿宋_GB2312" w:eastAsia="仿宋_GB2312" w:cs="仿宋_GB2312"/>
          <w:b w:val="0"/>
          <w:bCs/>
          <w:color w:val="auto"/>
          <w:spacing w:val="0"/>
          <w:kern w:val="21"/>
          <w:sz w:val="32"/>
          <w:szCs w:val="32"/>
          <w:lang w:val="en-US" w:eastAsia="zh-CN"/>
        </w:rPr>
        <w:t>落实</w:t>
      </w:r>
      <w:r>
        <w:rPr>
          <w:rFonts w:hint="default" w:ascii="仿宋_GB2312" w:hAnsi="仿宋_GB2312" w:eastAsia="仿宋_GB2312" w:cs="仿宋_GB2312"/>
          <w:b w:val="0"/>
          <w:bCs/>
          <w:color w:val="auto"/>
          <w:spacing w:val="0"/>
          <w:kern w:val="21"/>
          <w:sz w:val="32"/>
          <w:szCs w:val="32"/>
          <w:lang w:eastAsia="zh-CN"/>
        </w:rPr>
        <w:t>方案》，</w:t>
      </w:r>
      <w:r>
        <w:rPr>
          <w:rFonts w:hint="default" w:ascii="仿宋_GB2312" w:hAnsi="仿宋_GB2312" w:eastAsia="仿宋_GB2312" w:cs="仿宋_GB2312"/>
          <w:b w:val="0"/>
          <w:bCs/>
          <w:color w:val="auto"/>
          <w:spacing w:val="0"/>
          <w:kern w:val="21"/>
          <w:sz w:val="32"/>
          <w:szCs w:val="32"/>
          <w:lang w:val="en-US" w:eastAsia="zh-CN"/>
        </w:rPr>
        <w:t>对照</w:t>
      </w:r>
      <w:r>
        <w:rPr>
          <w:rFonts w:hint="default" w:ascii="仿宋_GB2312" w:hAnsi="仿宋_GB2312" w:eastAsia="仿宋_GB2312" w:cs="仿宋_GB2312"/>
          <w:b w:val="0"/>
          <w:bCs/>
          <w:color w:val="auto"/>
          <w:spacing w:val="0"/>
          <w:kern w:val="21"/>
          <w:sz w:val="32"/>
          <w:szCs w:val="32"/>
          <w:lang w:eastAsia="zh-CN"/>
        </w:rPr>
        <w:t>巡察反馈</w:t>
      </w:r>
      <w:r>
        <w:rPr>
          <w:rFonts w:hint="eastAsia" w:ascii="仿宋_GB2312" w:hAnsi="仿宋_GB2312" w:eastAsia="仿宋_GB2312" w:cs="仿宋_GB2312"/>
          <w:b w:val="0"/>
          <w:bCs/>
          <w:color w:val="auto"/>
          <w:spacing w:val="0"/>
          <w:kern w:val="21"/>
          <w:sz w:val="32"/>
          <w:szCs w:val="32"/>
          <w:lang w:eastAsia="zh-CN"/>
        </w:rPr>
        <w:t>存在的问题</w:t>
      </w:r>
      <w:r>
        <w:rPr>
          <w:rFonts w:hint="default" w:ascii="仿宋_GB2312" w:hAnsi="仿宋_GB2312" w:eastAsia="仿宋_GB2312" w:cs="仿宋_GB2312"/>
          <w:b w:val="0"/>
          <w:bCs/>
          <w:color w:val="auto"/>
          <w:spacing w:val="0"/>
          <w:kern w:val="21"/>
          <w:sz w:val="32"/>
          <w:szCs w:val="32"/>
          <w:lang w:eastAsia="zh-CN"/>
        </w:rPr>
        <w:t>，制定有针对性和可操作性的整改措施，建立整改任务清单台账，将整改任务分解细化，明确时间节点、责任领导、责任部门，全面落实巡察整改主体责任，确保巡察整改工作落实到位。</w:t>
      </w:r>
    </w:p>
    <w:p w14:paraId="421AA9A9">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eastAsia="zh-CN"/>
        </w:rPr>
      </w:pPr>
      <w:r>
        <w:rPr>
          <w:rFonts w:hint="default" w:ascii="Times New Roman" w:hAnsi="Times New Roman" w:eastAsia="仿宋_GB2312" w:cs="Times New Roman"/>
          <w:b/>
          <w:bCs w:val="0"/>
          <w:snapToGrid w:val="0"/>
          <w:color w:val="auto"/>
          <w:spacing w:val="0"/>
          <w:kern w:val="21"/>
          <w:sz w:val="32"/>
          <w:szCs w:val="32"/>
          <w:highlight w:val="none"/>
          <w:lang w:val="en-US" w:eastAsia="zh-CN"/>
        </w:rPr>
        <w:t>三是</w:t>
      </w:r>
      <w:r>
        <w:rPr>
          <w:rFonts w:hint="default" w:ascii="仿宋_GB2312" w:hAnsi="仿宋_GB2312" w:eastAsia="仿宋_GB2312" w:cs="仿宋_GB2312"/>
          <w:b w:val="0"/>
          <w:bCs/>
          <w:color w:val="auto"/>
          <w:spacing w:val="0"/>
          <w:kern w:val="21"/>
          <w:sz w:val="32"/>
          <w:szCs w:val="32"/>
          <w:lang w:val="en-US" w:eastAsia="zh-CN"/>
        </w:rPr>
        <w:t>深化成果运用，健全工作机制。</w:t>
      </w:r>
      <w:r>
        <w:rPr>
          <w:rFonts w:hint="default" w:ascii="仿宋_GB2312" w:hAnsi="仿宋_GB2312" w:eastAsia="仿宋_GB2312" w:cs="仿宋_GB2312"/>
          <w:b w:val="0"/>
          <w:bCs/>
          <w:color w:val="auto"/>
          <w:spacing w:val="0"/>
          <w:kern w:val="21"/>
          <w:sz w:val="32"/>
          <w:szCs w:val="32"/>
          <w:lang w:eastAsia="zh-CN"/>
        </w:rPr>
        <w:t>坚持“当下治”与“长久立”并重，以抓好巡察整改工作为契机，举一反三，由点及面，制定和完善制度，真正在整改的过</w:t>
      </w:r>
      <w:r>
        <w:rPr>
          <w:rFonts w:hint="eastAsia" w:ascii="仿宋_GB2312" w:hAnsi="仿宋_GB2312" w:eastAsia="仿宋_GB2312" w:cs="仿宋_GB2312"/>
          <w:b w:val="0"/>
          <w:bCs/>
          <w:color w:val="auto"/>
          <w:spacing w:val="0"/>
          <w:kern w:val="21"/>
          <w:sz w:val="32"/>
          <w:szCs w:val="32"/>
          <w:lang w:eastAsia="zh-CN"/>
        </w:rPr>
        <w:t>程中</w:t>
      </w:r>
      <w:r>
        <w:rPr>
          <w:rFonts w:hint="default" w:ascii="仿宋_GB2312" w:hAnsi="仿宋_GB2312" w:eastAsia="仿宋_GB2312" w:cs="仿宋_GB2312"/>
          <w:b w:val="0"/>
          <w:bCs/>
          <w:color w:val="auto"/>
          <w:spacing w:val="0"/>
          <w:kern w:val="21"/>
          <w:sz w:val="32"/>
          <w:szCs w:val="32"/>
          <w:lang w:eastAsia="zh-CN"/>
        </w:rPr>
        <w:t>提高领导班子凝聚力、战斗力、执行力，提升管理水平，形成相互衔接、相互配套的长效机制，做到以制度管人管事，持续巩固和扩大整改成果。</w:t>
      </w:r>
    </w:p>
    <w:p w14:paraId="15F024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Times New Roman" w:hAnsi="Times New Roman" w:eastAsia="黑体" w:cs="Times New Roman"/>
          <w:b w:val="0"/>
          <w:bCs/>
          <w:color w:val="auto"/>
          <w:spacing w:val="0"/>
          <w:kern w:val="21"/>
          <w:sz w:val="32"/>
          <w:szCs w:val="32"/>
          <w:lang w:eastAsia="zh-CN"/>
        </w:rPr>
      </w:pPr>
      <w:r>
        <w:rPr>
          <w:rFonts w:hint="default" w:ascii="Times New Roman" w:hAnsi="Times New Roman" w:eastAsia="黑体" w:cs="Times New Roman"/>
          <w:b w:val="0"/>
          <w:bCs/>
          <w:color w:val="auto"/>
          <w:spacing w:val="0"/>
          <w:kern w:val="21"/>
          <w:sz w:val="32"/>
          <w:szCs w:val="32"/>
          <w:lang w:eastAsia="zh-CN"/>
        </w:rPr>
        <w:t>二、巡察整改任务落实情况</w:t>
      </w:r>
    </w:p>
    <w:p w14:paraId="72099BB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Times New Roman" w:hAnsi="Times New Roman" w:eastAsia="楷体_GB2312" w:cs="Times New Roman"/>
          <w:b w:val="0"/>
          <w:bCs/>
          <w:color w:val="auto"/>
          <w:spacing w:val="0"/>
          <w:kern w:val="21"/>
          <w:sz w:val="32"/>
          <w:szCs w:val="32"/>
          <w:lang w:eastAsia="zh-CN"/>
        </w:rPr>
      </w:pPr>
      <w:r>
        <w:rPr>
          <w:rFonts w:hint="default" w:ascii="Times New Roman" w:hAnsi="Times New Roman" w:eastAsia="楷体_GB2312" w:cs="Times New Roman"/>
          <w:b w:val="0"/>
          <w:bCs/>
          <w:color w:val="auto"/>
          <w:spacing w:val="0"/>
          <w:kern w:val="21"/>
          <w:sz w:val="32"/>
          <w:szCs w:val="32"/>
          <w:lang w:eastAsia="zh-CN"/>
        </w:rPr>
        <w:t>（一）关于推动“教、科、产、城”融合发展，调动省职教城人才资源助力地方发展方面</w:t>
      </w:r>
    </w:p>
    <w:p w14:paraId="48A2A1DF">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US" w:eastAsia="zh-CN"/>
        </w:rPr>
      </w:pPr>
      <w:r>
        <w:rPr>
          <w:rFonts w:hint="eastAsia" w:ascii="仿宋_GB2312" w:hAnsi="仿宋_GB2312" w:eastAsia="仿宋_GB2312" w:cs="仿宋_GB2312"/>
          <w:b/>
          <w:bCs w:val="0"/>
          <w:color w:val="auto"/>
          <w:spacing w:val="0"/>
          <w:kern w:val="21"/>
          <w:sz w:val="32"/>
          <w:szCs w:val="32"/>
          <w:lang w:val="en-US" w:eastAsia="zh-CN"/>
        </w:rPr>
        <w:t>1.</w:t>
      </w:r>
      <w:r>
        <w:rPr>
          <w:rFonts w:hint="eastAsia" w:ascii="仿宋_GB2312" w:hAnsi="仿宋_GB2312" w:eastAsia="仿宋_GB2312" w:cs="仿宋_GB2312"/>
          <w:b/>
          <w:bCs w:val="0"/>
          <w:color w:val="auto"/>
          <w:spacing w:val="0"/>
          <w:kern w:val="21"/>
          <w:sz w:val="32"/>
          <w:szCs w:val="32"/>
          <w:highlight w:val="none"/>
          <w:u w:val="none" w:color="auto"/>
          <w:lang w:val="en-US" w:eastAsia="zh-CN"/>
        </w:rPr>
        <w:t>落实“第一议题”制度，加强学用结合。</w:t>
      </w:r>
    </w:p>
    <w:p w14:paraId="27C136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仿宋_GB2312" w:hAnsi="仿宋_GB2312" w:eastAsia="仿宋_GB2312" w:cs="仿宋_GB2312"/>
          <w:b w:val="0"/>
          <w:bCs/>
          <w:color w:val="auto"/>
          <w:spacing w:val="0"/>
          <w:kern w:val="21"/>
          <w:sz w:val="32"/>
          <w:szCs w:val="32"/>
          <w:lang w:val="en-US" w:eastAsia="zh-CN"/>
        </w:rPr>
        <w:t>贯彻落实“第一议题”学习制度，对“第一议题”进行会前仔细审批，确保第一时间学习习近平总书记的重要讲话和重要指示精神，做到学习内容不遗项、不漏项。持续推进</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第一议题</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实效化常态化，及时认真学习贯彻习近平新时代中国特色社会主义思想，党的二十届三中全会精神和习近平总书记关于职业教育的重要论述，紧密结合工作实际对“第一议题”部署贯彻落实意见，并建立了“第一议题”贯彻落实台账，持续推动</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第一议题</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实效化。</w:t>
      </w:r>
    </w:p>
    <w:p w14:paraId="76F1A2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lang w:val="en-US"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2.提高</w:t>
      </w:r>
      <w:r>
        <w:rPr>
          <w:rFonts w:hint="eastAsia" w:ascii="仿宋_GB2312" w:hAnsi="仿宋_GB2312" w:eastAsia="仿宋_GB2312" w:cs="仿宋_GB2312"/>
          <w:b/>
          <w:bCs w:val="0"/>
          <w:color w:val="auto"/>
          <w:spacing w:val="0"/>
          <w:kern w:val="21"/>
          <w:sz w:val="32"/>
          <w:szCs w:val="32"/>
          <w:highlight w:val="none"/>
          <w:u w:val="none" w:color="auto"/>
          <w:lang w:val="en" w:eastAsia="zh-CN"/>
        </w:rPr>
        <w:t>服务推动产教融合发展成效。</w:t>
      </w:r>
    </w:p>
    <w:p w14:paraId="269741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rPr>
        <w:t>一是</w:t>
      </w:r>
      <w:r>
        <w:rPr>
          <w:rFonts w:hint="default" w:ascii="仿宋_GB2312" w:hAnsi="仿宋_GB2312" w:eastAsia="仿宋_GB2312" w:cs="仿宋_GB2312"/>
          <w:b w:val="0"/>
          <w:bCs/>
          <w:color w:val="auto"/>
          <w:spacing w:val="0"/>
          <w:kern w:val="21"/>
          <w:sz w:val="32"/>
          <w:szCs w:val="32"/>
          <w:lang w:val="en" w:eastAsia="zh-CN"/>
        </w:rPr>
        <w:t>充分发挥产教融合研究院作用。</w:t>
      </w:r>
      <w:r>
        <w:rPr>
          <w:rFonts w:hint="default" w:ascii="仿宋_GB2312" w:hAnsi="仿宋_GB2312" w:eastAsia="仿宋_GB2312" w:cs="仿宋_GB2312"/>
          <w:b w:val="0"/>
          <w:bCs/>
          <w:color w:val="auto"/>
          <w:spacing w:val="0"/>
          <w:kern w:val="21"/>
          <w:sz w:val="32"/>
          <w:szCs w:val="32"/>
          <w:lang w:val="en-US" w:eastAsia="zh-CN"/>
        </w:rPr>
        <w:t>健全研究院工作机制和运行机制，制定研究院下设机构增设及撤并方案；落实跟踪研究院分支机构业务运行，按月收集整理分支机构工作进展情况并形成工作简报及进度台账，推动分支机构加强与院校在行业调</w:t>
      </w:r>
      <w:r>
        <w:rPr>
          <w:rFonts w:hint="eastAsia" w:ascii="仿宋_GB2312" w:hAnsi="仿宋_GB2312" w:eastAsia="仿宋_GB2312" w:cs="仿宋_GB2312"/>
          <w:b w:val="0"/>
          <w:bCs/>
          <w:color w:val="auto"/>
          <w:spacing w:val="0"/>
          <w:kern w:val="21"/>
          <w:sz w:val="32"/>
          <w:szCs w:val="32"/>
          <w:lang w:val="en-US" w:eastAsia="zh-CN"/>
        </w:rPr>
        <w:t>研及学术研究方面的交流联动；提升研究院的学术研究水平及整合能力，高质量推进产教融合专项社科课题，2023年产教融合专项社科课题成果75项立项项目，已收集74项课题成果；启动2024年产教融合专项社科课题申报工作，共收到203项课题申报，并于2025年3月组织评审后立项75项并完成公示，整合报送有关典型调研报告及优秀案例。</w:t>
      </w:r>
    </w:p>
    <w:p w14:paraId="308ACB3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二是</w:t>
      </w:r>
      <w:r>
        <w:rPr>
          <w:rFonts w:hint="default" w:ascii="仿宋_GB2312" w:hAnsi="仿宋_GB2312" w:eastAsia="仿宋_GB2312" w:cs="仿宋_GB2312"/>
          <w:b w:val="0"/>
          <w:bCs/>
          <w:color w:val="auto"/>
          <w:spacing w:val="0"/>
          <w:kern w:val="21"/>
          <w:sz w:val="32"/>
          <w:szCs w:val="32"/>
          <w:lang w:eastAsia="zh-CN"/>
        </w:rPr>
        <w:t>摸清</w:t>
      </w:r>
      <w:r>
        <w:rPr>
          <w:rFonts w:hint="default" w:ascii="仿宋_GB2312" w:hAnsi="仿宋_GB2312" w:eastAsia="仿宋_GB2312" w:cs="仿宋_GB2312"/>
          <w:b w:val="0"/>
          <w:bCs/>
          <w:color w:val="auto"/>
          <w:spacing w:val="0"/>
          <w:kern w:val="21"/>
          <w:sz w:val="32"/>
          <w:szCs w:val="32"/>
          <w:lang w:val="en" w:eastAsia="zh-CN"/>
        </w:rPr>
        <w:t>产教融合型</w:t>
      </w:r>
      <w:r>
        <w:rPr>
          <w:rFonts w:hint="eastAsia" w:ascii="仿宋_GB2312" w:hAnsi="仿宋_GB2312" w:eastAsia="仿宋_GB2312" w:cs="仿宋_GB2312"/>
          <w:b w:val="0"/>
          <w:bCs/>
          <w:color w:val="auto"/>
          <w:spacing w:val="0"/>
          <w:kern w:val="21"/>
          <w:sz w:val="32"/>
          <w:szCs w:val="32"/>
          <w:lang w:val="en" w:eastAsia="zh-CN"/>
        </w:rPr>
        <w:t>试点城市建设底数并做好跟进。经进一步的梳理，高校负责的60个产教融合试点城市重点项目，根据情况调整增加至</w:t>
      </w:r>
      <w:r>
        <w:rPr>
          <w:rFonts w:hint="eastAsia" w:ascii="仿宋_GB2312" w:hAnsi="仿宋_GB2312" w:eastAsia="仿宋_GB2312" w:cs="仿宋_GB2312"/>
          <w:b w:val="0"/>
          <w:bCs/>
          <w:color w:val="auto"/>
          <w:spacing w:val="0"/>
          <w:kern w:val="21"/>
          <w:sz w:val="32"/>
          <w:szCs w:val="32"/>
          <w:lang w:val="en-US" w:eastAsia="zh-CN"/>
        </w:rPr>
        <w:t>62项，已基本完成的有33项</w:t>
      </w:r>
      <w:r>
        <w:rPr>
          <w:rFonts w:hint="eastAsia" w:ascii="仿宋_GB2312" w:hAnsi="仿宋_GB2312" w:eastAsia="仿宋_GB2312" w:cs="仿宋_GB2312"/>
          <w:b w:val="0"/>
          <w:bCs/>
          <w:color w:val="auto"/>
          <w:spacing w:val="0"/>
          <w:kern w:val="21"/>
          <w:sz w:val="32"/>
          <w:szCs w:val="32"/>
          <w:lang w:val="en" w:eastAsia="zh-CN"/>
        </w:rPr>
        <w:t>，有</w:t>
      </w:r>
      <w:r>
        <w:rPr>
          <w:rFonts w:hint="eastAsia" w:ascii="仿宋_GB2312" w:hAnsi="仿宋_GB2312" w:eastAsia="仿宋_GB2312" w:cs="仿宋_GB2312"/>
          <w:b w:val="0"/>
          <w:bCs/>
          <w:color w:val="auto"/>
          <w:spacing w:val="0"/>
          <w:kern w:val="21"/>
          <w:sz w:val="32"/>
          <w:szCs w:val="32"/>
          <w:lang w:val="en-US" w:eastAsia="zh-CN"/>
        </w:rPr>
        <w:t>14项正在推进，</w:t>
      </w:r>
      <w:r>
        <w:rPr>
          <w:rFonts w:hint="eastAsia" w:ascii="仿宋_GB2312" w:hAnsi="仿宋_GB2312" w:eastAsia="仿宋_GB2312" w:cs="仿宋_GB2312"/>
          <w:b w:val="0"/>
          <w:bCs/>
          <w:color w:val="auto"/>
          <w:spacing w:val="0"/>
          <w:kern w:val="21"/>
          <w:sz w:val="32"/>
          <w:szCs w:val="32"/>
          <w:lang w:val="en" w:eastAsia="zh-CN"/>
        </w:rPr>
        <w:t>另有1</w:t>
      </w:r>
      <w:r>
        <w:rPr>
          <w:rFonts w:hint="eastAsia" w:ascii="仿宋_GB2312" w:hAnsi="仿宋_GB2312" w:eastAsia="仿宋_GB2312" w:cs="仿宋_GB2312"/>
          <w:b w:val="0"/>
          <w:bCs/>
          <w:color w:val="auto"/>
          <w:spacing w:val="0"/>
          <w:kern w:val="21"/>
          <w:sz w:val="32"/>
          <w:szCs w:val="32"/>
          <w:lang w:val="en-US" w:eastAsia="zh-CN"/>
        </w:rPr>
        <w:t>5</w:t>
      </w:r>
      <w:r>
        <w:rPr>
          <w:rFonts w:hint="eastAsia" w:ascii="仿宋_GB2312" w:hAnsi="仿宋_GB2312" w:eastAsia="仿宋_GB2312" w:cs="仿宋_GB2312"/>
          <w:b w:val="0"/>
          <w:bCs/>
          <w:color w:val="auto"/>
          <w:spacing w:val="0"/>
          <w:kern w:val="21"/>
          <w:sz w:val="32"/>
          <w:szCs w:val="32"/>
          <w:lang w:val="en" w:eastAsia="zh-CN"/>
        </w:rPr>
        <w:t>项完成部分但存在客观原因难以继续推进处于停滞状态，将进行进一步分析并予以调整或销项</w:t>
      </w:r>
      <w:r>
        <w:rPr>
          <w:rFonts w:hint="eastAsia" w:ascii="仿宋_GB2312" w:hAnsi="仿宋_GB2312" w:eastAsia="仿宋_GB2312" w:cs="仿宋_GB2312"/>
          <w:b w:val="0"/>
          <w:bCs/>
          <w:color w:val="auto"/>
          <w:spacing w:val="0"/>
          <w:kern w:val="21"/>
          <w:sz w:val="32"/>
          <w:szCs w:val="32"/>
          <w:lang w:val="en-US" w:eastAsia="zh-CN"/>
        </w:rPr>
        <w:t>。项目进展情况已形成台账，做到定期梳理更新，汇总梳理阶段性工作成效。</w:t>
      </w:r>
    </w:p>
    <w:p w14:paraId="43821EA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三是</w:t>
      </w:r>
      <w:r>
        <w:rPr>
          <w:rFonts w:hint="default" w:ascii="仿宋_GB2312" w:hAnsi="仿宋_GB2312" w:eastAsia="仿宋_GB2312" w:cs="仿宋_GB2312"/>
          <w:b w:val="0"/>
          <w:bCs/>
          <w:color w:val="auto"/>
          <w:spacing w:val="0"/>
          <w:kern w:val="21"/>
          <w:sz w:val="32"/>
          <w:szCs w:val="32"/>
          <w:lang w:val="en-US" w:eastAsia="zh-CN"/>
        </w:rPr>
        <w:t>加快推进科技成果转移转化平台建设项目进度。根据实际情况，项目完成时间调整为2025年10月31日，加强对项目的跟进落实，定期收集各项目成员单位任务完成情况及费用使用进度。截至2025年3月，落实高层次人才引进6人，形成一套成果转化制度，资金支出进度为58.98%。</w:t>
      </w:r>
    </w:p>
    <w:p w14:paraId="45B8B877">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3.</w:t>
      </w:r>
      <w:r>
        <w:rPr>
          <w:rFonts w:hint="eastAsia" w:ascii="仿宋_GB2312" w:hAnsi="仿宋_GB2312" w:eastAsia="仿宋_GB2312" w:cs="仿宋_GB2312"/>
          <w:b/>
          <w:bCs w:val="0"/>
          <w:color w:val="auto"/>
          <w:spacing w:val="0"/>
          <w:kern w:val="21"/>
          <w:sz w:val="32"/>
          <w:szCs w:val="32"/>
          <w:highlight w:val="none"/>
          <w:u w:val="none" w:color="auto"/>
          <w:lang w:val="en" w:eastAsia="zh-CN"/>
        </w:rPr>
        <w:t>协调职教城高校助力清远实施“百千万工程”，发挥人才优势和智力支撑作用。</w:t>
      </w:r>
    </w:p>
    <w:p w14:paraId="1D176843">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一是</w:t>
      </w:r>
      <w:r>
        <w:rPr>
          <w:rFonts w:hint="default" w:ascii="仿宋_GB2312" w:hAnsi="仿宋_GB2312" w:eastAsia="仿宋_GB2312" w:cs="仿宋_GB2312"/>
          <w:b w:val="0"/>
          <w:bCs/>
          <w:color w:val="auto"/>
          <w:spacing w:val="0"/>
          <w:kern w:val="21"/>
          <w:sz w:val="32"/>
          <w:szCs w:val="32"/>
          <w:lang w:val="en" w:eastAsia="zh-CN"/>
        </w:rPr>
        <w:t>推动制定人才激励政策。</w:t>
      </w:r>
      <w:r>
        <w:rPr>
          <w:rFonts w:hint="default" w:ascii="仿宋_GB2312" w:hAnsi="仿宋_GB2312" w:eastAsia="仿宋_GB2312" w:cs="仿宋_GB2312"/>
          <w:b w:val="0"/>
          <w:bCs/>
          <w:color w:val="auto"/>
          <w:spacing w:val="0"/>
          <w:kern w:val="21"/>
          <w:sz w:val="32"/>
          <w:szCs w:val="32"/>
          <w:lang w:val="en-US" w:eastAsia="zh-CN"/>
        </w:rPr>
        <w:t>在人才政策方面主动调研，收集省职教城各高校对人才激励政策的相关需求及意见建议并于2024年7月形成建议材料报送组织</w:t>
      </w:r>
      <w:r>
        <w:rPr>
          <w:rFonts w:hint="eastAsia" w:ascii="仿宋_GB2312" w:hAnsi="仿宋_GB2312" w:eastAsia="仿宋_GB2312" w:cs="仿宋_GB2312"/>
          <w:b w:val="0"/>
          <w:bCs/>
          <w:color w:val="auto"/>
          <w:spacing w:val="0"/>
          <w:kern w:val="21"/>
          <w:sz w:val="32"/>
          <w:szCs w:val="32"/>
          <w:lang w:val="en-US" w:eastAsia="zh-CN"/>
        </w:rPr>
        <w:t>人事部门</w:t>
      </w:r>
      <w:r>
        <w:rPr>
          <w:rFonts w:hint="default" w:ascii="仿宋_GB2312" w:hAnsi="仿宋_GB2312" w:eastAsia="仿宋_GB2312" w:cs="仿宋_GB2312"/>
          <w:b w:val="0"/>
          <w:bCs/>
          <w:color w:val="auto"/>
          <w:spacing w:val="0"/>
          <w:kern w:val="21"/>
          <w:sz w:val="32"/>
          <w:szCs w:val="32"/>
          <w:lang w:val="en-US" w:eastAsia="zh-CN"/>
        </w:rPr>
        <w:t>。2025年3月，对省职教城高校院系及专业设置、学科带头人和骨干教师清单、教师及学生数量等信息进行收集整理，形成省职教城院校人才供给侧信息台账。积极宣传现有人才</w:t>
      </w:r>
      <w:r>
        <w:rPr>
          <w:rFonts w:hint="eastAsia" w:ascii="仿宋_GB2312" w:hAnsi="仿宋_GB2312" w:eastAsia="仿宋_GB2312" w:cs="仿宋_GB2312"/>
          <w:b w:val="0"/>
          <w:bCs/>
          <w:color w:val="auto"/>
          <w:spacing w:val="0"/>
          <w:kern w:val="21"/>
          <w:sz w:val="32"/>
          <w:szCs w:val="32"/>
          <w:lang w:val="en-US" w:eastAsia="zh-CN"/>
        </w:rPr>
        <w:t>政策</w:t>
      </w:r>
      <w:r>
        <w:rPr>
          <w:rFonts w:hint="default" w:ascii="仿宋_GB2312" w:hAnsi="仿宋_GB2312" w:eastAsia="仿宋_GB2312" w:cs="仿宋_GB2312"/>
          <w:b w:val="0"/>
          <w:bCs/>
          <w:color w:val="auto"/>
          <w:spacing w:val="0"/>
          <w:kern w:val="21"/>
          <w:sz w:val="32"/>
          <w:szCs w:val="32"/>
          <w:lang w:val="en-US" w:eastAsia="zh-CN"/>
        </w:rPr>
        <w:t>，协助高新区人才政策落地实施，通过微信公众号、“粤职教城”小程序、校际互选课程、招聘会等各种渠道形式面向省职教城院校师生宣传推广，省职教城已有31个创新创业项目入驻高新区凤翔谷，其中注册企业7个，享受高新区的人才创业政策。</w:t>
      </w:r>
    </w:p>
    <w:p w14:paraId="2497405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20"/>
          <w:highlight w:val="none"/>
          <w:lang w:val="en-US" w:eastAsia="zh-CN"/>
        </w:rPr>
        <w:t>二是</w:t>
      </w:r>
      <w:r>
        <w:rPr>
          <w:rFonts w:hint="default" w:ascii="仿宋_GB2312" w:hAnsi="仿宋_GB2312" w:eastAsia="仿宋_GB2312" w:cs="仿宋_GB2312"/>
          <w:b w:val="0"/>
          <w:bCs/>
          <w:color w:val="auto"/>
          <w:spacing w:val="0"/>
          <w:kern w:val="21"/>
          <w:sz w:val="32"/>
          <w:szCs w:val="32"/>
          <w:lang w:val="en-US" w:eastAsia="zh-CN"/>
        </w:rPr>
        <w:t>充分履行市委人才工作领导小组成员单位职责。多渠道开展清远市人才政策宣讲，省职教城留清就业学生数逐年增加。持续推进人才供需对接，推动在高校内挂牌成立就业驿站，</w:t>
      </w:r>
      <w:r>
        <w:rPr>
          <w:rFonts w:hint="default" w:ascii="仿宋_GB2312" w:hAnsi="仿宋_GB2312" w:eastAsia="仿宋_GB2312" w:cs="仿宋_GB2312"/>
          <w:b w:val="0"/>
          <w:bCs/>
          <w:color w:val="auto"/>
          <w:spacing w:val="0"/>
          <w:kern w:val="21"/>
          <w:sz w:val="32"/>
          <w:szCs w:val="32"/>
          <w:lang w:val="en" w:eastAsia="zh-CN"/>
        </w:rPr>
        <w:t>组织省职教城院校师生到各大园区及相关重点企业调研，举办省职教城高校毕业生就业实习促进会、深化校企合作供需对接交流会、校商融合发展助力“百千万工程”资源对接会等校企交流活动。</w:t>
      </w:r>
      <w:r>
        <w:rPr>
          <w:rFonts w:hint="default" w:ascii="仿宋_GB2312" w:hAnsi="仿宋_GB2312" w:eastAsia="仿宋_GB2312" w:cs="仿宋_GB2312"/>
          <w:b w:val="0"/>
          <w:bCs/>
          <w:color w:val="auto"/>
          <w:spacing w:val="0"/>
          <w:kern w:val="21"/>
          <w:sz w:val="32"/>
          <w:szCs w:val="32"/>
          <w:lang w:val="en-US" w:eastAsia="zh-CN"/>
        </w:rPr>
        <w:t>多措并举培养高校学生对清远的归属感。举办各类赛事及交流活动，促进省职教城学生走进清远、融入清远。联合相关单位举办2024年“五大百亿杯”青年创新创意大赛、2024年“清远高新杯”暨“北江杯”创新创业大赛、第二届清远市职业院校学生直播电商大赛、2024年清城区龙塘镇墙绘大赛等，联合团市委制定支持省职教城大学生“百千万工程”突击队助力高质量发展的激励措施，促进校地交流互动，提升省职教城学生对清远的归属感。</w:t>
      </w:r>
    </w:p>
    <w:p w14:paraId="3F639233">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20"/>
          <w:highlight w:val="none"/>
          <w:lang w:val="en-US" w:eastAsia="zh-CN"/>
        </w:rPr>
      </w:pPr>
      <w:r>
        <w:rPr>
          <w:rFonts w:hint="eastAsia" w:ascii="仿宋_GB2312" w:hAnsi="仿宋_GB2312" w:eastAsia="仿宋_GB2312" w:cs="仿宋_GB2312"/>
          <w:b/>
          <w:bCs w:val="0"/>
          <w:color w:val="auto"/>
          <w:spacing w:val="0"/>
          <w:kern w:val="21"/>
          <w:sz w:val="32"/>
          <w:szCs w:val="20"/>
          <w:highlight w:val="none"/>
          <w:lang w:val="en-US" w:eastAsia="zh-CN"/>
        </w:rPr>
        <w:t>4.</w:t>
      </w:r>
      <w:r>
        <w:rPr>
          <w:rFonts w:hint="eastAsia" w:ascii="仿宋_GB2312" w:hAnsi="仿宋_GB2312" w:eastAsia="仿宋_GB2312" w:cs="仿宋_GB2312"/>
          <w:b/>
          <w:bCs w:val="0"/>
          <w:color w:val="auto"/>
          <w:spacing w:val="0"/>
          <w:kern w:val="21"/>
          <w:sz w:val="32"/>
          <w:szCs w:val="32"/>
          <w:highlight w:val="none"/>
          <w:u w:val="none" w:color="auto"/>
          <w:lang w:val="en" w:eastAsia="zh-CN"/>
        </w:rPr>
        <w:t>推动学校互联互通，提高教学资源设施共享共建程度。</w:t>
      </w:r>
    </w:p>
    <w:p w14:paraId="6C72A2F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一是</w:t>
      </w:r>
      <w:r>
        <w:rPr>
          <w:rFonts w:hint="default" w:ascii="仿宋_GB2312" w:hAnsi="仿宋_GB2312" w:eastAsia="仿宋_GB2312" w:cs="仿宋_GB2312"/>
          <w:b w:val="0"/>
          <w:bCs/>
          <w:color w:val="auto"/>
          <w:spacing w:val="0"/>
          <w:kern w:val="21"/>
          <w:sz w:val="32"/>
          <w:szCs w:val="32"/>
          <w:lang w:val="en-US" w:eastAsia="zh-CN"/>
        </w:rPr>
        <w:t>加强“粤职教城”小程序的使用推广。</w:t>
      </w:r>
      <w:r>
        <w:rPr>
          <w:rFonts w:hint="default" w:ascii="仿宋_GB2312" w:hAnsi="仿宋_GB2312" w:eastAsia="仿宋_GB2312" w:cs="仿宋_GB2312"/>
          <w:b w:val="0"/>
          <w:bCs/>
          <w:color w:val="auto"/>
          <w:spacing w:val="0"/>
          <w:kern w:val="21"/>
          <w:sz w:val="32"/>
          <w:szCs w:val="32"/>
          <w:lang w:val="en" w:eastAsia="zh-CN"/>
        </w:rPr>
        <w:t>“粤职教城”小程序累计用户数已提升至4.5</w:t>
      </w:r>
      <w:r>
        <w:rPr>
          <w:rFonts w:hint="default" w:ascii="仿宋_GB2312" w:hAnsi="仿宋_GB2312" w:eastAsia="仿宋_GB2312" w:cs="仿宋_GB2312"/>
          <w:b w:val="0"/>
          <w:bCs/>
          <w:color w:val="auto"/>
          <w:spacing w:val="0"/>
          <w:kern w:val="21"/>
          <w:sz w:val="32"/>
          <w:szCs w:val="32"/>
          <w:lang w:val="en-US" w:eastAsia="zh-CN"/>
        </w:rPr>
        <w:t>5</w:t>
      </w:r>
      <w:r>
        <w:rPr>
          <w:rFonts w:hint="default" w:ascii="仿宋_GB2312" w:hAnsi="仿宋_GB2312" w:eastAsia="仿宋_GB2312" w:cs="仿宋_GB2312"/>
          <w:b w:val="0"/>
          <w:bCs/>
          <w:color w:val="auto"/>
          <w:spacing w:val="0"/>
          <w:kern w:val="21"/>
          <w:sz w:val="32"/>
          <w:szCs w:val="32"/>
          <w:lang w:val="en" w:eastAsia="zh-CN"/>
        </w:rPr>
        <w:t>万。通过小程序发布针对省职教城师生的设计类人才聚集地征名活动、省职教城首届大学生数字阅读大赛、第二届清远市职业院校学生直播电商大赛、科技志愿服务活动、省职教城首届体育艺术节等各类赛事活动，不断提升小程序的吸引力及影响力。</w:t>
      </w:r>
    </w:p>
    <w:p w14:paraId="72D037F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二是</w:t>
      </w:r>
      <w:r>
        <w:rPr>
          <w:rFonts w:hint="default" w:ascii="仿宋_GB2312" w:hAnsi="仿宋_GB2312" w:eastAsia="仿宋_GB2312" w:cs="仿宋_GB2312"/>
          <w:b w:val="0"/>
          <w:bCs/>
          <w:color w:val="auto"/>
          <w:spacing w:val="0"/>
          <w:kern w:val="21"/>
          <w:sz w:val="32"/>
          <w:szCs w:val="32"/>
          <w:lang w:val="en-US" w:eastAsia="zh-CN"/>
        </w:rPr>
        <w:t>加快广东省职教城产教融合数据共享平台开发。正式发布省职教城产教融合数据共享平台网页端，已开发政策查询汇编、课题申报、专家人才库、院校数据库、企业及园区展示、合作需求发布等功能，为深化产教融合、校企合作、校地交流提供信息化路径及工具，助力各方需求有效匹配。加强就业招聘服务功能，“粤职教城”小程序“就业”模块和产教融合数据共享平台“求职招聘”模块已对接“清远一卡通”。</w:t>
      </w:r>
    </w:p>
    <w:p w14:paraId="521EDD9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三是</w:t>
      </w:r>
      <w:r>
        <w:rPr>
          <w:rFonts w:hint="default" w:ascii="仿宋_GB2312" w:hAnsi="仿宋_GB2312" w:eastAsia="仿宋_GB2312" w:cs="仿宋_GB2312"/>
          <w:b w:val="0"/>
          <w:bCs/>
          <w:color w:val="auto"/>
          <w:spacing w:val="0"/>
          <w:kern w:val="21"/>
          <w:sz w:val="32"/>
          <w:szCs w:val="32"/>
          <w:lang w:val="en-US" w:eastAsia="zh-CN"/>
        </w:rPr>
        <w:t>进一步引导高校开展校内资源对外开放共享。对高校的可开放资源进行摸底，收集10所高校报告厅、体育馆、学生活动中心等18个场馆基础信息，持续推动省职教城高校空间共享、活动共办，探索</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一门双开、一馆多用</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的合作模式，2024年累计在省职教城开展高雅艺术进校园活动共4场展演，在3所高校举办历届连州优秀摄影作品展及艺术进高校活动。</w:t>
      </w:r>
    </w:p>
    <w:p w14:paraId="289DA997">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5.</w:t>
      </w:r>
      <w:r>
        <w:rPr>
          <w:rFonts w:hint="eastAsia" w:ascii="仿宋_GB2312" w:hAnsi="仿宋_GB2312" w:eastAsia="仿宋_GB2312" w:cs="仿宋_GB2312"/>
          <w:b/>
          <w:bCs w:val="0"/>
          <w:color w:val="auto"/>
          <w:spacing w:val="0"/>
          <w:kern w:val="21"/>
          <w:sz w:val="32"/>
          <w:szCs w:val="32"/>
          <w:highlight w:val="none"/>
          <w:u w:val="none" w:color="auto"/>
          <w:lang w:val="en" w:eastAsia="zh-CN"/>
        </w:rPr>
        <w:t>加强服务保障意识，督促二期工程项目维保问题完成整改。</w:t>
      </w:r>
    </w:p>
    <w:p w14:paraId="631EE0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仿宋_GB2312" w:hAnsi="仿宋_GB2312" w:eastAsia="仿宋_GB2312" w:cs="仿宋_GB2312"/>
          <w:b w:val="0"/>
          <w:bCs/>
          <w:color w:val="auto"/>
          <w:spacing w:val="0"/>
          <w:kern w:val="21"/>
          <w:sz w:val="32"/>
          <w:szCs w:val="32"/>
          <w:lang w:val="en" w:eastAsia="zh-CN"/>
        </w:rPr>
        <w:t>持续跟进落实省职教城二期项目的维保问题，</w:t>
      </w:r>
      <w:r>
        <w:rPr>
          <w:rFonts w:hint="default" w:ascii="仿宋_GB2312" w:hAnsi="仿宋_GB2312" w:eastAsia="仿宋_GB2312" w:cs="仿宋_GB2312"/>
          <w:b w:val="0"/>
          <w:bCs/>
          <w:color w:val="auto"/>
          <w:spacing w:val="0"/>
          <w:kern w:val="21"/>
          <w:sz w:val="32"/>
          <w:szCs w:val="32"/>
          <w:lang w:val="en-US" w:eastAsia="zh-CN"/>
        </w:rPr>
        <w:t>主动和学校、施工单位对接，对照问题清单，建立维保问题整改时限台账，督促施工单位倒排工期，按期整改，质保期内项目基本已完成整改。</w:t>
      </w:r>
    </w:p>
    <w:p w14:paraId="40245339">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6.</w:t>
      </w:r>
      <w:r>
        <w:rPr>
          <w:rFonts w:hint="eastAsia" w:ascii="仿宋_GB2312" w:hAnsi="仿宋_GB2312" w:eastAsia="仿宋_GB2312" w:cs="仿宋_GB2312"/>
          <w:b/>
          <w:bCs w:val="0"/>
          <w:color w:val="auto"/>
          <w:spacing w:val="0"/>
          <w:kern w:val="21"/>
          <w:sz w:val="32"/>
          <w:szCs w:val="32"/>
          <w:highlight w:val="none"/>
          <w:u w:val="none" w:color="auto"/>
          <w:lang w:val="en" w:eastAsia="zh-CN"/>
        </w:rPr>
        <w:t>落实意识形态、保密、统战工作。</w:t>
      </w:r>
    </w:p>
    <w:p w14:paraId="7E28E55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rPr>
        <w:t>一是</w:t>
      </w:r>
      <w:r>
        <w:rPr>
          <w:rFonts w:hint="default" w:ascii="Times New Roman" w:hAnsi="Times New Roman" w:eastAsia="仿宋_GB2312" w:cs="Times New Roman"/>
          <w:b w:val="0"/>
          <w:bCs/>
          <w:color w:val="auto"/>
          <w:spacing w:val="0"/>
          <w:kern w:val="21"/>
          <w:sz w:val="32"/>
          <w:szCs w:val="32"/>
          <w:highlight w:val="none"/>
          <w:u w:val="none" w:color="auto"/>
          <w:lang w:val="en" w:eastAsia="zh-CN"/>
        </w:rPr>
        <w:t>落</w:t>
      </w:r>
      <w:r>
        <w:rPr>
          <w:rFonts w:hint="default" w:ascii="仿宋_GB2312" w:hAnsi="仿宋_GB2312" w:eastAsia="仿宋_GB2312" w:cs="仿宋_GB2312"/>
          <w:b w:val="0"/>
          <w:bCs/>
          <w:color w:val="auto"/>
          <w:spacing w:val="0"/>
          <w:kern w:val="21"/>
          <w:sz w:val="32"/>
          <w:szCs w:val="32"/>
          <w:lang w:val="en" w:eastAsia="zh-CN"/>
        </w:rPr>
        <w:t>实意识形态工作责任制，加强分析研判，</w:t>
      </w:r>
      <w:r>
        <w:rPr>
          <w:rFonts w:hint="default" w:ascii="仿宋_GB2312" w:hAnsi="仿宋_GB2312" w:eastAsia="仿宋_GB2312" w:cs="仿宋_GB2312"/>
          <w:b w:val="0"/>
          <w:bCs/>
          <w:color w:val="auto"/>
          <w:spacing w:val="0"/>
          <w:kern w:val="21"/>
          <w:sz w:val="32"/>
          <w:szCs w:val="32"/>
          <w:lang w:val="en-US" w:eastAsia="zh-CN"/>
        </w:rPr>
        <w:t>强化干部职工做好意识形态工作的责任感、使命感。</w:t>
      </w:r>
      <w:r>
        <w:rPr>
          <w:rFonts w:hint="default" w:ascii="Times New Roman" w:hAnsi="Times New Roman" w:eastAsia="仿宋_GB2312" w:cs="Times New Roman"/>
          <w:b/>
          <w:bCs w:val="0"/>
          <w:color w:val="auto"/>
          <w:spacing w:val="0"/>
          <w:kern w:val="21"/>
          <w:sz w:val="32"/>
          <w:szCs w:val="32"/>
          <w:highlight w:val="none"/>
          <w:u w:val="none" w:color="auto"/>
          <w:lang w:val="en-US" w:eastAsia="zh-CN"/>
        </w:rPr>
        <w:t>二是</w:t>
      </w:r>
      <w:r>
        <w:rPr>
          <w:rFonts w:hint="default" w:ascii="仿宋_GB2312" w:hAnsi="仿宋_GB2312" w:eastAsia="仿宋_GB2312" w:cs="仿宋_GB2312"/>
          <w:b w:val="0"/>
          <w:bCs/>
          <w:color w:val="auto"/>
          <w:spacing w:val="0"/>
          <w:kern w:val="21"/>
          <w:sz w:val="32"/>
          <w:szCs w:val="32"/>
          <w:lang w:val="en" w:eastAsia="zh-CN"/>
        </w:rPr>
        <w:t>落实保密工作责任制，</w:t>
      </w:r>
      <w:r>
        <w:rPr>
          <w:rFonts w:hint="default" w:ascii="仿宋_GB2312" w:hAnsi="仿宋_GB2312" w:eastAsia="仿宋_GB2312" w:cs="仿宋_GB2312"/>
          <w:b w:val="0"/>
          <w:bCs/>
          <w:color w:val="auto"/>
          <w:spacing w:val="0"/>
          <w:kern w:val="21"/>
          <w:sz w:val="32"/>
          <w:szCs w:val="32"/>
          <w:lang w:val="en-US" w:eastAsia="zh-CN"/>
        </w:rPr>
        <w:t>完善保密工作的相关制度条款，加强对涉密人员的管理和培训，严格组织开展年度保密自查自评。</w:t>
      </w: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三是</w:t>
      </w:r>
      <w:r>
        <w:rPr>
          <w:rFonts w:hint="default" w:ascii="Times New Roman" w:hAnsi="Times New Roman" w:eastAsia="仿宋_GB2312" w:cs="Times New Roman"/>
          <w:b w:val="0"/>
          <w:bCs/>
          <w:color w:val="auto"/>
          <w:spacing w:val="0"/>
          <w:kern w:val="21"/>
          <w:sz w:val="32"/>
          <w:szCs w:val="32"/>
          <w:highlight w:val="none"/>
          <w:u w:val="none" w:color="auto"/>
          <w:lang w:val="en-US" w:eastAsia="zh-CN"/>
        </w:rPr>
        <w:t>强</w:t>
      </w:r>
      <w:r>
        <w:rPr>
          <w:rFonts w:hint="default" w:ascii="仿宋_GB2312" w:hAnsi="仿宋_GB2312" w:eastAsia="仿宋_GB2312" w:cs="仿宋_GB2312"/>
          <w:b w:val="0"/>
          <w:bCs/>
          <w:color w:val="auto"/>
          <w:spacing w:val="0"/>
          <w:kern w:val="21"/>
          <w:sz w:val="32"/>
          <w:szCs w:val="32"/>
          <w:lang w:val="en-US" w:eastAsia="zh-CN"/>
        </w:rPr>
        <w:t>化统战工作落实，将统战工作列入党组重要议事日程，专题学习、研究、部署并做好情况总结报送。</w:t>
      </w:r>
    </w:p>
    <w:p w14:paraId="628964A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rightChars="0"/>
        <w:jc w:val="both"/>
        <w:textAlignment w:val="auto"/>
        <w:outlineLvl w:val="9"/>
        <w:rPr>
          <w:rFonts w:hint="default" w:ascii="Times New Roman" w:hAnsi="Times New Roman" w:eastAsia="楷体_GB2312" w:cs="Times New Roman"/>
          <w:b w:val="0"/>
          <w:bCs/>
          <w:color w:val="auto"/>
          <w:spacing w:val="0"/>
          <w:kern w:val="21"/>
          <w:sz w:val="32"/>
          <w:szCs w:val="32"/>
          <w:highlight w:val="none"/>
          <w:lang w:val="en-US" w:eastAsia="zh-CN"/>
        </w:rPr>
      </w:pPr>
      <w:r>
        <w:rPr>
          <w:rFonts w:hint="eastAsia" w:eastAsia="楷体_GB2312" w:cs="Times New Roman"/>
          <w:b w:val="0"/>
          <w:bCs/>
          <w:color w:val="auto"/>
          <w:spacing w:val="0"/>
          <w:kern w:val="21"/>
          <w:sz w:val="32"/>
          <w:szCs w:val="32"/>
          <w:lang w:val="en-US" w:eastAsia="zh-CN"/>
        </w:rPr>
        <w:t>（二）</w:t>
      </w:r>
      <w:r>
        <w:rPr>
          <w:rFonts w:hint="default" w:ascii="Times New Roman" w:hAnsi="Times New Roman" w:eastAsia="楷体_GB2312" w:cs="Times New Roman"/>
          <w:b w:val="0"/>
          <w:bCs/>
          <w:color w:val="auto"/>
          <w:spacing w:val="0"/>
          <w:kern w:val="21"/>
          <w:sz w:val="32"/>
          <w:szCs w:val="32"/>
          <w:lang w:val="en-US" w:eastAsia="zh-CN"/>
        </w:rPr>
        <w:t>关于</w:t>
      </w:r>
      <w:r>
        <w:rPr>
          <w:rFonts w:hint="default" w:ascii="Times New Roman" w:hAnsi="Times New Roman" w:eastAsia="楷体_GB2312" w:cs="Times New Roman"/>
          <w:b w:val="0"/>
          <w:bCs/>
          <w:color w:val="auto"/>
          <w:spacing w:val="0"/>
          <w:kern w:val="21"/>
          <w:sz w:val="32"/>
          <w:szCs w:val="32"/>
          <w:highlight w:val="none"/>
          <w:lang w:val="en-US" w:eastAsia="zh-CN"/>
        </w:rPr>
        <w:t>落实管党治党主体责任，加强内部管理方面</w:t>
      </w:r>
    </w:p>
    <w:p w14:paraId="4CDEAB0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lang w:val="en-US" w:eastAsia="zh-CN"/>
        </w:rPr>
      </w:pPr>
      <w:r>
        <w:rPr>
          <w:rFonts w:hint="eastAsia" w:ascii="仿宋_GB2312" w:hAnsi="仿宋_GB2312" w:eastAsia="仿宋_GB2312" w:cs="仿宋_GB2312"/>
          <w:b/>
          <w:bCs w:val="0"/>
          <w:color w:val="auto"/>
          <w:spacing w:val="0"/>
          <w:kern w:val="21"/>
          <w:sz w:val="32"/>
          <w:szCs w:val="32"/>
          <w:highlight w:val="none"/>
          <w:lang w:val="en-US" w:eastAsia="zh-CN"/>
        </w:rPr>
        <w:t>1.加强党内监督。</w:t>
      </w:r>
    </w:p>
    <w:p w14:paraId="789272F3">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2"/>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lang w:val="en-US" w:eastAsia="zh-CN"/>
        </w:rPr>
        <w:t>一是</w:t>
      </w:r>
      <w:r>
        <w:rPr>
          <w:rFonts w:hint="default" w:ascii="仿宋_GB2312" w:hAnsi="仿宋_GB2312" w:eastAsia="仿宋_GB2312" w:cs="仿宋_GB2312"/>
          <w:b w:val="0"/>
          <w:bCs/>
          <w:color w:val="auto"/>
          <w:spacing w:val="0"/>
          <w:kern w:val="21"/>
          <w:sz w:val="32"/>
          <w:szCs w:val="32"/>
          <w:lang w:val="en-US" w:eastAsia="zh-CN"/>
        </w:rPr>
        <w:t>严格落实党风廉政建设工作机制。调整广东省职教城（清远）事务中心党风廉政建设领导小组及办公室成员，确保成员均为在职在编的中共党员。</w:t>
      </w:r>
    </w:p>
    <w:p w14:paraId="701B0956">
      <w:pPr>
        <w:pStyle w:val="5"/>
        <w:keepNext w:val="0"/>
        <w:keepLines w:val="0"/>
        <w:pageBreakBefore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rPr>
        <w:t>二是</w:t>
      </w:r>
      <w:r>
        <w:rPr>
          <w:rFonts w:hint="default" w:ascii="仿宋_GB2312" w:hAnsi="仿宋_GB2312" w:eastAsia="仿宋_GB2312" w:cs="仿宋_GB2312"/>
          <w:b w:val="0"/>
          <w:bCs/>
          <w:color w:val="auto"/>
          <w:spacing w:val="0"/>
          <w:kern w:val="21"/>
          <w:sz w:val="32"/>
          <w:szCs w:val="32"/>
          <w:lang w:val="en" w:eastAsia="zh-CN"/>
        </w:rPr>
        <w:t>加强对</w:t>
      </w:r>
      <w:r>
        <w:rPr>
          <w:rFonts w:hint="eastAsia" w:ascii="仿宋_GB2312" w:hAnsi="仿宋_GB2312" w:eastAsia="仿宋_GB2312" w:cs="仿宋_GB2312"/>
          <w:b w:val="0"/>
          <w:bCs/>
          <w:color w:val="auto"/>
          <w:spacing w:val="0"/>
          <w:kern w:val="21"/>
          <w:sz w:val="32"/>
          <w:szCs w:val="32"/>
          <w:lang w:val="en" w:eastAsia="zh-CN"/>
        </w:rPr>
        <w:t>民主评议党员</w:t>
      </w:r>
      <w:r>
        <w:rPr>
          <w:rFonts w:hint="default" w:ascii="仿宋_GB2312" w:hAnsi="仿宋_GB2312" w:eastAsia="仿宋_GB2312" w:cs="仿宋_GB2312"/>
          <w:b w:val="0"/>
          <w:bCs/>
          <w:color w:val="auto"/>
          <w:spacing w:val="0"/>
          <w:kern w:val="21"/>
          <w:sz w:val="32"/>
          <w:szCs w:val="32"/>
          <w:lang w:val="en" w:eastAsia="zh-CN"/>
        </w:rPr>
        <w:t>的把关。</w:t>
      </w:r>
      <w:r>
        <w:rPr>
          <w:rFonts w:hint="default" w:ascii="仿宋_GB2312" w:hAnsi="仿宋_GB2312" w:eastAsia="仿宋_GB2312" w:cs="仿宋_GB2312"/>
          <w:b w:val="0"/>
          <w:bCs/>
          <w:color w:val="auto"/>
          <w:spacing w:val="0"/>
          <w:kern w:val="21"/>
          <w:sz w:val="32"/>
          <w:szCs w:val="32"/>
          <w:lang w:val="en-US" w:eastAsia="zh-CN"/>
        </w:rPr>
        <w:t>严格按照民主评议党员工作流程评选年度</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优秀等次</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党员，完善党员干部奖惩机制，充分发挥党支部在评先评优中的监督作用。</w:t>
      </w:r>
    </w:p>
    <w:p w14:paraId="0D6E64F5">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三是</w:t>
      </w:r>
      <w:r>
        <w:rPr>
          <w:rFonts w:hint="default" w:ascii="仿宋_GB2312" w:hAnsi="仿宋_GB2312" w:eastAsia="仿宋_GB2312" w:cs="仿宋_GB2312"/>
          <w:b w:val="0"/>
          <w:bCs/>
          <w:color w:val="auto"/>
          <w:spacing w:val="0"/>
          <w:kern w:val="21"/>
          <w:sz w:val="32"/>
          <w:szCs w:val="32"/>
          <w:lang w:val="en" w:eastAsia="zh-CN"/>
        </w:rPr>
        <w:t>抓实廉政风险排查工作。</w:t>
      </w:r>
      <w:r>
        <w:rPr>
          <w:rFonts w:hint="default" w:ascii="仿宋_GB2312" w:hAnsi="仿宋_GB2312" w:eastAsia="仿宋_GB2312" w:cs="仿宋_GB2312"/>
          <w:b w:val="0"/>
          <w:bCs/>
          <w:color w:val="auto"/>
          <w:spacing w:val="0"/>
          <w:kern w:val="21"/>
          <w:sz w:val="32"/>
          <w:szCs w:val="32"/>
          <w:lang w:val="en-US" w:eastAsia="zh-CN"/>
        </w:rPr>
        <w:t>重新修订印发《广东省职教城（清远）事务中心廉政风险防控工作实施方案》，建立完善有关机制，抓好廉政风险的组织实施。党组主要负责同志带头组织全体在职在编干部对照个人岗位职责开展年度廉政风险排查，切实把岗位风险排查清楚</w:t>
      </w:r>
      <w:r>
        <w:rPr>
          <w:rFonts w:hint="default" w:ascii="仿宋_GB2312" w:hAnsi="仿宋_GB2312" w:eastAsia="仿宋_GB2312" w:cs="仿宋_GB2312"/>
          <w:b w:val="0"/>
          <w:bCs/>
          <w:color w:val="auto"/>
          <w:spacing w:val="0"/>
          <w:kern w:val="21"/>
          <w:sz w:val="32"/>
          <w:szCs w:val="32"/>
          <w:lang w:val="en" w:eastAsia="zh-CN"/>
        </w:rPr>
        <w:t>明</w:t>
      </w:r>
      <w:r>
        <w:rPr>
          <w:rFonts w:hint="default" w:ascii="仿宋_GB2312" w:hAnsi="仿宋_GB2312" w:eastAsia="仿宋_GB2312" w:cs="仿宋_GB2312"/>
          <w:b w:val="0"/>
          <w:bCs/>
          <w:color w:val="auto"/>
          <w:spacing w:val="0"/>
          <w:kern w:val="21"/>
          <w:sz w:val="32"/>
          <w:szCs w:val="32"/>
          <w:lang w:val="en-US" w:eastAsia="zh-CN"/>
        </w:rPr>
        <w:t>白，杜绝形式主义。</w:t>
      </w:r>
    </w:p>
    <w:p w14:paraId="2DFDA05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bidi="ar-SA"/>
        </w:rPr>
        <w:t>2.抓好</w:t>
      </w:r>
      <w:r>
        <w:rPr>
          <w:rFonts w:hint="eastAsia" w:ascii="仿宋_GB2312" w:hAnsi="仿宋_GB2312" w:eastAsia="仿宋_GB2312" w:cs="仿宋_GB2312"/>
          <w:b/>
          <w:bCs w:val="0"/>
          <w:color w:val="auto"/>
          <w:spacing w:val="0"/>
          <w:kern w:val="21"/>
          <w:sz w:val="32"/>
          <w:szCs w:val="32"/>
          <w:highlight w:val="none"/>
          <w:u w:val="none" w:color="auto"/>
          <w:lang w:val="en" w:eastAsia="zh-CN"/>
        </w:rPr>
        <w:t>财务制度执行。</w:t>
      </w:r>
    </w:p>
    <w:p w14:paraId="52C15E6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一是</w:t>
      </w:r>
      <w:r>
        <w:rPr>
          <w:rFonts w:hint="default" w:ascii="仿宋_GB2312" w:hAnsi="仿宋_GB2312" w:eastAsia="仿宋_GB2312" w:cs="仿宋_GB2312"/>
          <w:b w:val="0"/>
          <w:bCs/>
          <w:color w:val="auto"/>
          <w:spacing w:val="0"/>
          <w:kern w:val="21"/>
          <w:sz w:val="32"/>
          <w:szCs w:val="32"/>
          <w:lang w:val="en" w:eastAsia="zh-CN"/>
        </w:rPr>
        <w:t>完善财务人员配备。</w:t>
      </w:r>
      <w:r>
        <w:rPr>
          <w:rFonts w:hint="default" w:ascii="仿宋_GB2312" w:hAnsi="仿宋_GB2312" w:eastAsia="仿宋_GB2312" w:cs="仿宋_GB2312"/>
          <w:b w:val="0"/>
          <w:bCs/>
          <w:color w:val="auto"/>
          <w:spacing w:val="0"/>
          <w:kern w:val="21"/>
          <w:sz w:val="32"/>
          <w:szCs w:val="32"/>
          <w:lang w:val="en-US" w:eastAsia="zh-CN"/>
        </w:rPr>
        <w:t>加强对现有人员教育培训，对财务相关人员集中传达了整改有关要求，对财务工作各流程的程序规范执行，科室负责人及分管领导做好审核把关。尽快落实配备在编人员担任财务岗，调整岗位设置方案，下一步按照计划开展财务专业人员补充工作。</w:t>
      </w:r>
    </w:p>
    <w:p w14:paraId="502C32BB">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二是</w:t>
      </w:r>
      <w:r>
        <w:rPr>
          <w:rFonts w:hint="default" w:ascii="仿宋_GB2312" w:hAnsi="仿宋_GB2312" w:eastAsia="仿宋_GB2312" w:cs="仿宋_GB2312"/>
          <w:b w:val="0"/>
          <w:bCs/>
          <w:color w:val="auto"/>
          <w:spacing w:val="0"/>
          <w:kern w:val="21"/>
          <w:sz w:val="32"/>
          <w:szCs w:val="32"/>
          <w:lang w:val="en" w:eastAsia="zh-CN"/>
        </w:rPr>
        <w:t>完善财务报销管理制度，制定并印发了《广东省职教城（清远）事务中心公务卡管理实施细则》，进一步规范报销手续流程，落实公务卡结算制度，并已按规定为干部职工办理公务卡。对报账的材料进行重新核查完善，确认入账材料均已附发票、收据及相关人员签名，并加强报账审核，确保后续报账材料完整真实。</w:t>
      </w:r>
    </w:p>
    <w:p w14:paraId="5A7E8023">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bidi="ar-SA"/>
        </w:rPr>
        <w:t>三是</w:t>
      </w:r>
      <w:r>
        <w:rPr>
          <w:rFonts w:hint="default" w:ascii="仿宋_GB2312" w:hAnsi="仿宋_GB2312" w:eastAsia="仿宋_GB2312" w:cs="仿宋_GB2312"/>
          <w:b w:val="0"/>
          <w:bCs/>
          <w:color w:val="auto"/>
          <w:spacing w:val="0"/>
          <w:kern w:val="21"/>
          <w:sz w:val="32"/>
          <w:szCs w:val="32"/>
          <w:lang w:val="en-US" w:eastAsia="zh-CN"/>
        </w:rPr>
        <w:t>规范工会经费使用。核对2021</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2023年工会活动奖金发放情况，追回超过规定标准的金额部分。继续规范工会经费的支出管理，严控工会经费的使用范围和发放比例。</w:t>
      </w:r>
    </w:p>
    <w:p w14:paraId="3C59B8D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right="0" w:rightChars="0"/>
        <w:jc w:val="both"/>
        <w:textAlignment w:val="auto"/>
        <w:outlineLvl w:val="9"/>
        <w:rPr>
          <w:rFonts w:hint="default" w:ascii="Times New Roman" w:hAnsi="Times New Roman" w:eastAsia="楷体_GB2312" w:cs="Times New Roman"/>
          <w:b w:val="0"/>
          <w:bCs/>
          <w:color w:val="auto"/>
          <w:spacing w:val="0"/>
          <w:kern w:val="21"/>
          <w:sz w:val="32"/>
          <w:szCs w:val="32"/>
          <w:lang w:val="en-US" w:eastAsia="zh-CN"/>
        </w:rPr>
      </w:pPr>
      <w:r>
        <w:rPr>
          <w:rFonts w:hint="eastAsia" w:eastAsia="楷体_GB2312" w:cs="Times New Roman"/>
          <w:b w:val="0"/>
          <w:bCs/>
          <w:color w:val="auto"/>
          <w:spacing w:val="0"/>
          <w:kern w:val="21"/>
          <w:sz w:val="32"/>
          <w:szCs w:val="32"/>
          <w:lang w:val="en-US" w:eastAsia="zh-CN"/>
        </w:rPr>
        <w:t>（三）</w:t>
      </w:r>
      <w:r>
        <w:rPr>
          <w:rFonts w:hint="default" w:ascii="Times New Roman" w:hAnsi="Times New Roman" w:eastAsia="楷体_GB2312" w:cs="Times New Roman"/>
          <w:b w:val="0"/>
          <w:bCs/>
          <w:color w:val="auto"/>
          <w:spacing w:val="0"/>
          <w:kern w:val="21"/>
          <w:sz w:val="32"/>
          <w:szCs w:val="32"/>
          <w:lang w:val="en-US" w:eastAsia="zh-CN"/>
        </w:rPr>
        <w:t>关于加强干部队伍建设，提升党建工作质量方面</w:t>
      </w:r>
    </w:p>
    <w:p w14:paraId="33E11A3E">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US"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1.强化班子队伍建设。</w:t>
      </w:r>
    </w:p>
    <w:p w14:paraId="13E48783">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rPr>
        <w:t>一是</w:t>
      </w:r>
      <w:r>
        <w:rPr>
          <w:rFonts w:hint="default" w:ascii="仿宋_GB2312" w:hAnsi="仿宋_GB2312" w:eastAsia="仿宋_GB2312" w:cs="仿宋_GB2312"/>
          <w:b w:val="0"/>
          <w:bCs/>
          <w:color w:val="auto"/>
          <w:spacing w:val="0"/>
          <w:kern w:val="21"/>
          <w:sz w:val="32"/>
          <w:szCs w:val="32"/>
          <w:lang w:val="en" w:eastAsia="zh-CN"/>
        </w:rPr>
        <w:t>规范党组议事决策机制，</w:t>
      </w:r>
      <w:r>
        <w:rPr>
          <w:rFonts w:hint="default" w:ascii="仿宋_GB2312" w:hAnsi="仿宋_GB2312" w:eastAsia="仿宋_GB2312" w:cs="仿宋_GB2312"/>
          <w:b w:val="0"/>
          <w:bCs/>
          <w:color w:val="auto"/>
          <w:spacing w:val="0"/>
          <w:kern w:val="21"/>
          <w:sz w:val="32"/>
          <w:szCs w:val="32"/>
          <w:lang w:val="en-US" w:eastAsia="zh-CN"/>
        </w:rPr>
        <w:t>修订印发《广东省职教城（清远）事务中心党组会议议事规则》，健全完善事务中心党组集体领导制度，严格落实“第一议题”制度，严格规范重要文件、制度的制发流程，并严格落实会前拟定上会议题、重要文件制度印发前上报党组会研究审议等工作要求，进一步规范和改进事务中心党组议事决策工作。2024年9月20日至2025年3月25日，共召开党组会议14次，研究议题63项，签订会前议题审批表63份，会上审定重要文件、制度29份，相关需印发的文件、制度均在会后印发。</w:t>
      </w:r>
    </w:p>
    <w:p w14:paraId="45E0CC9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二是</w:t>
      </w:r>
      <w:r>
        <w:rPr>
          <w:rFonts w:hint="default" w:ascii="仿宋_GB2312" w:hAnsi="仿宋_GB2312" w:eastAsia="仿宋_GB2312" w:cs="仿宋_GB2312"/>
          <w:b w:val="0"/>
          <w:bCs/>
          <w:color w:val="auto"/>
          <w:spacing w:val="0"/>
          <w:kern w:val="21"/>
          <w:sz w:val="32"/>
          <w:szCs w:val="32"/>
          <w:lang w:val="en" w:eastAsia="zh-CN"/>
        </w:rPr>
        <w:t>完善行政班子会议制度。</w:t>
      </w:r>
      <w:r>
        <w:rPr>
          <w:rFonts w:hint="default" w:ascii="仿宋_GB2312" w:hAnsi="仿宋_GB2312" w:eastAsia="仿宋_GB2312" w:cs="仿宋_GB2312"/>
          <w:b w:val="0"/>
          <w:bCs/>
          <w:color w:val="auto"/>
          <w:spacing w:val="0"/>
          <w:kern w:val="21"/>
          <w:sz w:val="32"/>
          <w:szCs w:val="32"/>
          <w:lang w:val="en-US" w:eastAsia="zh-CN"/>
        </w:rPr>
        <w:t>制定并印发《广东省职教城（清远）事务中心行政办公会议制度》，对事务中心行政办公会议的相关事项进行明确规定，2024年7月至2025年3月，共召开行政班子会议7次，研究议题17项，会前拟定上会议题，确保会议流程规范，确保会议有序进行，并按要求做好会议记录和会议纪要，进一步提高会议议事质量和决策水平。</w:t>
      </w:r>
    </w:p>
    <w:p w14:paraId="088ACF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bCs w:val="0"/>
          <w:color w:val="auto"/>
          <w:spacing w:val="0"/>
          <w:kern w:val="21"/>
          <w:sz w:val="32"/>
          <w:szCs w:val="32"/>
          <w:highlight w:val="none"/>
          <w:u w:val="none" w:color="auto"/>
          <w:lang w:val="en-US"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2.加强干部队伍建设。</w:t>
      </w:r>
    </w:p>
    <w:p w14:paraId="1956C740">
      <w:pPr>
        <w:pStyle w:val="5"/>
        <w:keepNext w:val="0"/>
        <w:keepLines w:val="0"/>
        <w:pageBreakBefore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一是</w:t>
      </w:r>
      <w:r>
        <w:rPr>
          <w:rFonts w:hint="default" w:ascii="仿宋_GB2312" w:hAnsi="仿宋_GB2312" w:eastAsia="仿宋_GB2312" w:cs="仿宋_GB2312"/>
          <w:b w:val="0"/>
          <w:bCs/>
          <w:color w:val="auto"/>
          <w:spacing w:val="0"/>
          <w:kern w:val="21"/>
          <w:sz w:val="32"/>
          <w:szCs w:val="32"/>
          <w:lang w:val="en-US" w:eastAsia="zh-CN"/>
        </w:rPr>
        <w:t>规范制作干部选拔任用纪实材料、人事档案材料</w:t>
      </w:r>
      <w:r>
        <w:rPr>
          <w:rFonts w:hint="eastAsia" w:ascii="仿宋_GB2312" w:hAnsi="仿宋_GB2312" w:eastAsia="仿宋_GB2312" w:cs="仿宋_GB2312"/>
          <w:b w:val="0"/>
          <w:bCs/>
          <w:color w:val="auto"/>
          <w:spacing w:val="0"/>
          <w:kern w:val="21"/>
          <w:sz w:val="32"/>
          <w:szCs w:val="32"/>
          <w:lang w:val="en-US" w:eastAsia="zh-CN"/>
        </w:rPr>
        <w:t>。对</w:t>
      </w:r>
      <w:r>
        <w:rPr>
          <w:rFonts w:hint="default" w:ascii="仿宋_GB2312" w:hAnsi="仿宋_GB2312" w:eastAsia="仿宋_GB2312" w:cs="仿宋_GB2312"/>
          <w:b w:val="0"/>
          <w:bCs/>
          <w:color w:val="auto"/>
          <w:spacing w:val="0"/>
          <w:kern w:val="21"/>
          <w:sz w:val="32"/>
          <w:szCs w:val="32"/>
          <w:lang w:val="en-US" w:eastAsia="zh-CN"/>
        </w:rPr>
        <w:t>选人用人的有关程序进行进一步梳理，形成规范性的流程指引及有关文件格式要求，对</w:t>
      </w:r>
      <w:r>
        <w:rPr>
          <w:rFonts w:hint="default" w:ascii="仿宋_GB2312" w:hAnsi="仿宋_GB2312" w:eastAsia="仿宋_GB2312" w:cs="仿宋_GB2312"/>
          <w:b w:val="0"/>
          <w:bCs/>
          <w:color w:val="auto"/>
          <w:spacing w:val="0"/>
          <w:kern w:val="21"/>
          <w:sz w:val="32"/>
          <w:szCs w:val="32"/>
          <w:lang w:val="en" w:eastAsia="zh-CN"/>
        </w:rPr>
        <w:t>有</w:t>
      </w:r>
      <w:r>
        <w:rPr>
          <w:rFonts w:hint="default" w:ascii="仿宋_GB2312" w:hAnsi="仿宋_GB2312" w:eastAsia="仿宋_GB2312" w:cs="仿宋_GB2312"/>
          <w:b w:val="0"/>
          <w:bCs/>
          <w:color w:val="auto"/>
          <w:spacing w:val="0"/>
          <w:kern w:val="21"/>
          <w:sz w:val="32"/>
          <w:szCs w:val="32"/>
          <w:lang w:val="en-US" w:eastAsia="zh-CN"/>
        </w:rPr>
        <w:t>缺漏的材料进行核对及完善，做好有关纪实材料的归档。</w:t>
      </w:r>
    </w:p>
    <w:p w14:paraId="6AD7E343">
      <w:pPr>
        <w:pStyle w:val="5"/>
        <w:keepNext w:val="0"/>
        <w:keepLines w:val="0"/>
        <w:pageBreakBefore w:val="0"/>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bidi="ar-SA"/>
        </w:rPr>
        <w:t>二是</w:t>
      </w:r>
      <w:r>
        <w:rPr>
          <w:rFonts w:hint="default" w:ascii="仿宋_GB2312" w:hAnsi="仿宋_GB2312" w:eastAsia="仿宋_GB2312" w:cs="仿宋_GB2312"/>
          <w:b w:val="0"/>
          <w:bCs/>
          <w:color w:val="auto"/>
          <w:spacing w:val="0"/>
          <w:kern w:val="21"/>
          <w:sz w:val="32"/>
          <w:szCs w:val="32"/>
          <w:lang w:val="en-US" w:eastAsia="zh-CN"/>
        </w:rPr>
        <w:t>强化干部教育培训管理。加强对全体干部职工的政治思想教育和专业能力建设，完善干部教育培训的统筹规划和年度培训计划，结合产教融合发展和事务中心工作实际制定《广东省职教城（清远）事务中心2024年干部教育培训实施方案》《广东省职教城（清远）事务中心2025年干部教育培训计划》，确保每名干部均满足干部培训教育学时要求。结合具体业务工作和产教融合发展任务相关要求，开展了相关专题培训学习内容，进一步提升干部职工的履职能力，打造高素质、专业化的人才队伍。</w:t>
      </w:r>
    </w:p>
    <w:p w14:paraId="304B31A5">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80" w:firstLineChars="200"/>
        <w:jc w:val="both"/>
        <w:textAlignment w:val="auto"/>
        <w:rPr>
          <w:rFonts w:hint="eastAsia" w:ascii="仿宋_GB2312" w:hAnsi="仿宋_GB2312" w:eastAsia="仿宋_GB2312" w:cs="仿宋_GB2312"/>
          <w:b/>
          <w:bCs w:val="0"/>
          <w:color w:val="auto"/>
          <w:spacing w:val="0"/>
          <w:kern w:val="21"/>
          <w:sz w:val="32"/>
          <w:szCs w:val="32"/>
          <w:highlight w:val="none"/>
          <w:u w:val="none" w:color="auto"/>
          <w:lang w:val="en-US" w:eastAsia="zh-CN"/>
        </w:rPr>
      </w:pPr>
      <w:r>
        <w:rPr>
          <w:rFonts w:hint="eastAsia" w:ascii="仿宋_GB2312" w:hAnsi="仿宋_GB2312" w:eastAsia="仿宋_GB2312" w:cs="仿宋_GB2312"/>
          <w:b/>
          <w:bCs w:val="0"/>
          <w:color w:val="auto"/>
          <w:spacing w:val="0"/>
          <w:kern w:val="21"/>
          <w:sz w:val="32"/>
          <w:szCs w:val="32"/>
          <w:highlight w:val="none"/>
          <w:u w:val="none" w:color="auto"/>
          <w:lang w:val="en-US" w:eastAsia="zh-CN"/>
        </w:rPr>
        <w:t>3.抓实落实党建工作。</w:t>
      </w:r>
    </w:p>
    <w:p w14:paraId="5F4AA9A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一是</w:t>
      </w:r>
      <w:r>
        <w:rPr>
          <w:rFonts w:hint="default" w:ascii="仿宋_GB2312" w:hAnsi="仿宋_GB2312" w:eastAsia="仿宋_GB2312" w:cs="仿宋_GB2312"/>
          <w:b w:val="0"/>
          <w:bCs/>
          <w:color w:val="auto"/>
          <w:spacing w:val="0"/>
          <w:kern w:val="21"/>
          <w:sz w:val="32"/>
          <w:szCs w:val="32"/>
          <w:lang w:val="en" w:eastAsia="zh-CN"/>
        </w:rPr>
        <w:t>规范执行发展党员程序。对党支部发展党员工作进行自查自纠，加强对党务工作人员的业务技能培训力度，有效提升了党务工作者业务能力；</w:t>
      </w:r>
      <w:r>
        <w:rPr>
          <w:rFonts w:hint="default" w:ascii="仿宋_GB2312" w:hAnsi="仿宋_GB2312" w:eastAsia="仿宋_GB2312" w:cs="仿宋_GB2312"/>
          <w:b w:val="0"/>
          <w:bCs/>
          <w:color w:val="auto"/>
          <w:spacing w:val="0"/>
          <w:kern w:val="21"/>
          <w:sz w:val="32"/>
          <w:szCs w:val="32"/>
          <w:lang w:val="en-US" w:eastAsia="zh-CN"/>
        </w:rPr>
        <w:t>2024年6月以来完成一名预备党员转正，</w:t>
      </w:r>
      <w:r>
        <w:rPr>
          <w:rFonts w:hint="default" w:ascii="仿宋_GB2312" w:hAnsi="仿宋_GB2312" w:eastAsia="仿宋_GB2312" w:cs="仿宋_GB2312"/>
          <w:b w:val="0"/>
          <w:bCs/>
          <w:color w:val="auto"/>
          <w:spacing w:val="0"/>
          <w:kern w:val="21"/>
          <w:sz w:val="32"/>
          <w:szCs w:val="32"/>
          <w:lang w:val="en" w:eastAsia="zh-CN"/>
        </w:rPr>
        <w:t>于2024年10月底已建立健全发展党员程序相关的工作台账，</w:t>
      </w:r>
      <w:r>
        <w:rPr>
          <w:rFonts w:hint="default" w:ascii="仿宋_GB2312" w:hAnsi="仿宋_GB2312" w:eastAsia="仿宋_GB2312" w:cs="仿宋_GB2312"/>
          <w:b w:val="0"/>
          <w:bCs/>
          <w:color w:val="auto"/>
          <w:spacing w:val="0"/>
          <w:kern w:val="21"/>
          <w:sz w:val="32"/>
          <w:szCs w:val="32"/>
          <w:lang w:val="en-US" w:eastAsia="zh-CN"/>
        </w:rPr>
        <w:t>确定入党积极分子2名，暂无新增党员发展对象，期间发展党员程序均按规范程序执行，未出现问题</w:t>
      </w:r>
      <w:r>
        <w:rPr>
          <w:rFonts w:hint="default" w:ascii="仿宋_GB2312" w:hAnsi="仿宋_GB2312" w:eastAsia="仿宋_GB2312" w:cs="仿宋_GB2312"/>
          <w:b w:val="0"/>
          <w:bCs/>
          <w:color w:val="auto"/>
          <w:spacing w:val="0"/>
          <w:kern w:val="21"/>
          <w:sz w:val="32"/>
          <w:szCs w:val="32"/>
          <w:lang w:val="en" w:eastAsia="zh-CN"/>
        </w:rPr>
        <w:t>。</w:t>
      </w:r>
    </w:p>
    <w:p w14:paraId="7F37710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US" w:eastAsia="zh-CN"/>
        </w:rPr>
        <w:t>二是</w:t>
      </w:r>
      <w:r>
        <w:rPr>
          <w:rFonts w:hint="default" w:ascii="仿宋_GB2312" w:hAnsi="仿宋_GB2312" w:eastAsia="仿宋_GB2312" w:cs="仿宋_GB2312"/>
          <w:b w:val="0"/>
          <w:bCs/>
          <w:color w:val="auto"/>
          <w:spacing w:val="0"/>
          <w:kern w:val="21"/>
          <w:sz w:val="32"/>
          <w:szCs w:val="32"/>
          <w:lang w:val="en-US" w:eastAsia="zh-CN"/>
        </w:rPr>
        <w:t>规范管理使用党务经费。实行党费账户单独建账、独立核算，与业务指导部门进行联系对接，接受有关业务的检查指导，理清党员活动经费管理及党费收缴要求，已安排专人每月按时收缴党费、定期上缴，并落实每一项党员活动经费的使用途径和方式，做好相关台账登记。</w:t>
      </w:r>
    </w:p>
    <w:p w14:paraId="779A931F">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u w:val="none" w:color="auto"/>
          <w:lang w:val="en" w:eastAsia="zh-CN" w:bidi="ar-SA"/>
        </w:rPr>
        <w:t>三是</w:t>
      </w:r>
      <w:r>
        <w:rPr>
          <w:rFonts w:hint="default" w:ascii="仿宋_GB2312" w:hAnsi="仿宋_GB2312" w:eastAsia="仿宋_GB2312" w:cs="仿宋_GB2312"/>
          <w:b w:val="0"/>
          <w:bCs/>
          <w:color w:val="auto"/>
          <w:spacing w:val="0"/>
          <w:kern w:val="21"/>
          <w:sz w:val="32"/>
          <w:szCs w:val="32"/>
          <w:lang w:val="en" w:eastAsia="zh-CN"/>
        </w:rPr>
        <w:t>充分发挥党员先锋模范作用。</w:t>
      </w:r>
      <w:r>
        <w:rPr>
          <w:rFonts w:hint="default" w:ascii="仿宋_GB2312" w:hAnsi="仿宋_GB2312" w:eastAsia="仿宋_GB2312" w:cs="仿宋_GB2312"/>
          <w:b w:val="0"/>
          <w:bCs/>
          <w:color w:val="auto"/>
          <w:spacing w:val="0"/>
          <w:kern w:val="21"/>
          <w:sz w:val="32"/>
          <w:szCs w:val="32"/>
          <w:lang w:val="en-US" w:eastAsia="zh-CN"/>
        </w:rPr>
        <w:t>加强党员政治学习和思想教育，通过第一议题学习、“三会一课”、主题党日活动等有效载体，进一步加强党员政治学习和思想教育，提升党性修养，引导党员在完成重大任务、抗击自然灾害、应对突发事件中冲在前、作表率，在第二轮驻镇干部选派中，多名党员干部主动请缨，顺利完成驻镇干部的选派交接。完善对党员先锋模范的激励机制，加强对乡村振兴驻镇帮扶工作的后勤支持，研究制定党内激励关怀措施，在开展优秀党员、优秀党务工作者和党建专家库等党内评优工作中，对驻镇干部优先考虑，发挥示范引领作用。</w:t>
      </w:r>
    </w:p>
    <w:p w14:paraId="405A08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Times New Roman" w:hAnsi="Times New Roman" w:eastAsia="黑体" w:cs="Times New Roman"/>
          <w:b w:val="0"/>
          <w:bCs/>
          <w:color w:val="auto"/>
          <w:spacing w:val="0"/>
          <w:kern w:val="21"/>
          <w:sz w:val="32"/>
          <w:szCs w:val="32"/>
          <w:lang w:eastAsia="zh-CN"/>
        </w:rPr>
      </w:pPr>
      <w:r>
        <w:rPr>
          <w:rFonts w:hint="default" w:ascii="Times New Roman" w:hAnsi="Times New Roman" w:eastAsia="黑体" w:cs="Times New Roman"/>
          <w:b w:val="0"/>
          <w:bCs/>
          <w:color w:val="auto"/>
          <w:spacing w:val="0"/>
          <w:kern w:val="21"/>
          <w:sz w:val="32"/>
          <w:szCs w:val="32"/>
          <w:lang w:eastAsia="zh-CN"/>
        </w:rPr>
        <w:t>三、下一步打算</w:t>
      </w:r>
    </w:p>
    <w:p w14:paraId="3730CFC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default" w:ascii="仿宋_GB2312" w:hAnsi="仿宋_GB2312" w:eastAsia="仿宋_GB2312" w:cs="仿宋_GB2312"/>
          <w:b w:val="0"/>
          <w:bCs/>
          <w:color w:val="auto"/>
          <w:spacing w:val="0"/>
          <w:kern w:val="21"/>
          <w:sz w:val="32"/>
          <w:szCs w:val="32"/>
          <w:lang w:val="en-US" w:eastAsia="zh-CN"/>
        </w:rPr>
      </w:pPr>
      <w:r>
        <w:rPr>
          <w:rFonts w:hint="default" w:ascii="仿宋_GB2312" w:hAnsi="仿宋_GB2312" w:eastAsia="仿宋_GB2312" w:cs="仿宋_GB2312"/>
          <w:b w:val="0"/>
          <w:bCs/>
          <w:color w:val="auto"/>
          <w:spacing w:val="0"/>
          <w:kern w:val="21"/>
          <w:sz w:val="32"/>
          <w:szCs w:val="32"/>
          <w:lang w:val="en-US" w:eastAsia="zh-CN"/>
        </w:rPr>
        <w:t>下一步，事务中心党组将持续以习近平新时代中国特色社会主义思想为指导，严格按照市委巡察整改工作要求，对准弱项短板、聚焦难点重点，坚持</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当下改</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与</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长久治</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相结合，持续深入推进整改工作。</w:t>
      </w:r>
    </w:p>
    <w:p w14:paraId="4DC69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楷体_GB2312" w:cs="Times New Roman"/>
          <w:b w:val="0"/>
          <w:bCs/>
          <w:color w:val="auto"/>
          <w:spacing w:val="0"/>
          <w:kern w:val="21"/>
          <w:sz w:val="32"/>
          <w:szCs w:val="32"/>
          <w:highlight w:val="none"/>
          <w:lang w:val="en-US" w:eastAsia="zh-CN" w:bidi="ar-SA"/>
        </w:rPr>
        <w:t>（一）强化政治建设，提高思想认识。</w:t>
      </w:r>
      <w:r>
        <w:rPr>
          <w:rFonts w:hint="default" w:ascii="仿宋_GB2312" w:hAnsi="仿宋_GB2312" w:eastAsia="仿宋_GB2312" w:cs="仿宋_GB2312"/>
          <w:b w:val="0"/>
          <w:bCs/>
          <w:color w:val="auto"/>
          <w:spacing w:val="0"/>
          <w:kern w:val="21"/>
          <w:sz w:val="32"/>
          <w:szCs w:val="32"/>
          <w:lang w:val="en-US" w:eastAsia="zh-CN"/>
        </w:rPr>
        <w:t>坚持把政治建设放在首位，持续深入学习贯彻习近平新时代中国特色社会主义思想和党的二十大精神，忠诚拥护</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两个确立</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，增强</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四个意识</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、坚定</w:t>
      </w:r>
      <w:r>
        <w:rPr>
          <w:rFonts w:hint="eastAsia" w:ascii="仿宋_GB2312" w:hAnsi="仿宋_GB2312" w:eastAsia="仿宋_GB2312" w:cs="仿宋_GB2312"/>
          <w:b w:val="0"/>
          <w:bCs/>
          <w:color w:val="auto"/>
          <w:spacing w:val="0"/>
          <w:kern w:val="21"/>
          <w:sz w:val="32"/>
          <w:szCs w:val="32"/>
          <w:lang w:val="en-US" w:eastAsia="zh-CN"/>
        </w:rPr>
        <w:t>“</w:t>
      </w:r>
      <w:r>
        <w:rPr>
          <w:rFonts w:hint="default" w:ascii="仿宋_GB2312" w:hAnsi="仿宋_GB2312" w:eastAsia="仿宋_GB2312" w:cs="仿宋_GB2312"/>
          <w:b w:val="0"/>
          <w:bCs/>
          <w:color w:val="auto"/>
          <w:spacing w:val="0"/>
          <w:kern w:val="21"/>
          <w:sz w:val="32"/>
          <w:szCs w:val="32"/>
          <w:lang w:val="en-US" w:eastAsia="zh-CN"/>
        </w:rPr>
        <w:t>四个</w:t>
      </w:r>
      <w:r>
        <w:rPr>
          <w:rFonts w:hint="eastAsia" w:ascii="仿宋_GB2312" w:hAnsi="仿宋_GB2312" w:eastAsia="仿宋_GB2312" w:cs="仿宋_GB2312"/>
          <w:b w:val="0"/>
          <w:bCs/>
          <w:color w:val="auto"/>
          <w:spacing w:val="0"/>
          <w:kern w:val="21"/>
          <w:sz w:val="32"/>
          <w:szCs w:val="32"/>
          <w:lang w:val="en-US" w:eastAsia="zh-CN"/>
        </w:rPr>
        <w:t>自信”、做到“两个维护”</w:t>
      </w:r>
      <w:r>
        <w:rPr>
          <w:rFonts w:hint="default" w:ascii="仿宋_GB2312" w:hAnsi="仿宋_GB2312" w:eastAsia="仿宋_GB2312" w:cs="仿宋_GB2312"/>
          <w:b w:val="0"/>
          <w:bCs/>
          <w:color w:val="auto"/>
          <w:spacing w:val="0"/>
          <w:kern w:val="21"/>
          <w:sz w:val="32"/>
          <w:szCs w:val="32"/>
          <w:lang w:val="en-US" w:eastAsia="zh-CN"/>
        </w:rPr>
        <w:t>。</w:t>
      </w:r>
    </w:p>
    <w:p w14:paraId="1C739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80" w:firstLineChars="200"/>
        <w:jc w:val="both"/>
        <w:textAlignment w:val="auto"/>
        <w:rPr>
          <w:rFonts w:hint="default" w:ascii="仿宋_GB2312" w:hAnsi="仿宋_GB2312" w:eastAsia="仿宋_GB2312" w:cs="仿宋_GB2312"/>
          <w:b w:val="0"/>
          <w:bCs/>
          <w:color w:val="auto"/>
          <w:spacing w:val="0"/>
          <w:kern w:val="21"/>
          <w:sz w:val="32"/>
          <w:szCs w:val="32"/>
          <w:lang w:val="en-US" w:eastAsia="zh-CN"/>
        </w:rPr>
      </w:pPr>
      <w:r>
        <w:rPr>
          <w:rFonts w:hint="default" w:ascii="Times New Roman" w:hAnsi="Times New Roman" w:eastAsia="楷体_GB2312" w:cs="Times New Roman"/>
          <w:b w:val="0"/>
          <w:bCs/>
          <w:color w:val="auto"/>
          <w:spacing w:val="0"/>
          <w:kern w:val="21"/>
          <w:sz w:val="32"/>
          <w:szCs w:val="32"/>
          <w:highlight w:val="none"/>
          <w:lang w:val="en-US" w:eastAsia="zh-CN" w:bidi="ar-SA"/>
        </w:rPr>
        <w:t>（二）持之以恒抓好整改落实。</w:t>
      </w:r>
      <w:r>
        <w:rPr>
          <w:rFonts w:hint="default" w:ascii="Times New Roman" w:hAnsi="Times New Roman" w:eastAsia="仿宋_GB2312" w:cs="Times New Roman"/>
          <w:b w:val="0"/>
          <w:bCs/>
          <w:color w:val="auto"/>
          <w:spacing w:val="0"/>
          <w:kern w:val="21"/>
          <w:sz w:val="32"/>
          <w:szCs w:val="32"/>
          <w:highlight w:val="none"/>
          <w:u w:val="none" w:color="auto"/>
          <w:lang w:val="en-US" w:eastAsia="zh-CN" w:bidi="ar-SA"/>
        </w:rPr>
        <w:t>发扬钉钉子精神，</w:t>
      </w:r>
      <w:r>
        <w:rPr>
          <w:rFonts w:hint="default" w:ascii="仿宋_GB2312" w:hAnsi="仿宋_GB2312" w:eastAsia="仿宋_GB2312" w:cs="仿宋_GB2312"/>
          <w:b w:val="0"/>
          <w:bCs/>
          <w:color w:val="auto"/>
          <w:spacing w:val="0"/>
          <w:kern w:val="21"/>
          <w:sz w:val="32"/>
          <w:szCs w:val="32"/>
          <w:lang w:val="en-US" w:eastAsia="zh-CN"/>
        </w:rPr>
        <w:t>坚持持续改、深入改、长期改，对已经完成的整改任务，持续巩固整改成果，适时对整改效果进行再分析再研判，坚决防止问题反弹回潮；对于阶段性完成的问题，进一步理清整改思路，持续跟进后续进展情况，按照既定目标和措施，不松劲、不减压，一抓到底。</w:t>
      </w:r>
    </w:p>
    <w:p w14:paraId="06464E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rPr>
      </w:pPr>
      <w:r>
        <w:rPr>
          <w:rFonts w:hint="default" w:ascii="Times New Roman" w:hAnsi="Times New Roman" w:eastAsia="楷体_GB2312" w:cs="Times New Roman"/>
          <w:b w:val="0"/>
          <w:bCs/>
          <w:color w:val="auto"/>
          <w:spacing w:val="0"/>
          <w:kern w:val="21"/>
          <w:sz w:val="32"/>
          <w:szCs w:val="32"/>
          <w:highlight w:val="none"/>
          <w:lang w:val="en-US" w:eastAsia="zh-CN" w:bidi="ar-SA"/>
        </w:rPr>
        <w:t>（三）标本兼治，深化成果运用。</w:t>
      </w:r>
      <w:r>
        <w:rPr>
          <w:rFonts w:hint="default" w:ascii="仿宋_GB2312" w:hAnsi="仿宋_GB2312" w:eastAsia="仿宋_GB2312" w:cs="仿宋_GB2312"/>
          <w:b w:val="0"/>
          <w:bCs/>
          <w:color w:val="auto"/>
          <w:spacing w:val="0"/>
          <w:kern w:val="21"/>
          <w:sz w:val="32"/>
          <w:szCs w:val="32"/>
          <w:lang w:val="en-US" w:eastAsia="zh-CN"/>
        </w:rPr>
        <w:t>以巡察整改为契机，自觉把巡察整改工作与贯彻党中央的决策部署和省委、市委的具体工作部署结合起来，聚焦影响省职教城高质量发展的堵点、难点，补短板、堵漏洞、强弱项，坚持以问题为导向，倒查制度漏洞，加</w:t>
      </w:r>
      <w:r>
        <w:rPr>
          <w:rFonts w:hint="eastAsia" w:ascii="仿宋_GB2312" w:hAnsi="仿宋_GB2312" w:eastAsia="仿宋_GB2312" w:cs="仿宋_GB2312"/>
          <w:b w:val="0"/>
          <w:bCs/>
          <w:color w:val="auto"/>
          <w:spacing w:val="0"/>
          <w:kern w:val="21"/>
          <w:sz w:val="32"/>
          <w:szCs w:val="32"/>
          <w:lang w:val="en-US" w:eastAsia="zh-CN"/>
        </w:rPr>
        <w:t>大制度建设力度，完善制度体系。切实加强制度执行情况的监督，在做好巡察“后半篇文章”上持续发力，切实把整改成效转化为赋能清远高质量发展的强大动力。</w:t>
      </w:r>
    </w:p>
    <w:p w14:paraId="27747CF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lang w:val="en-US" w:eastAsia="zh-CN"/>
        </w:rPr>
      </w:pPr>
      <w:r>
        <w:rPr>
          <w:rFonts w:hint="eastAsia" w:ascii="仿宋_GB2312" w:hAnsi="仿宋_GB2312" w:eastAsia="仿宋_GB2312" w:cs="仿宋_GB2312"/>
          <w:b w:val="0"/>
          <w:bCs/>
          <w:color w:val="auto"/>
          <w:spacing w:val="0"/>
          <w:kern w:val="21"/>
          <w:sz w:val="32"/>
          <w:szCs w:val="32"/>
          <w:lang w:val="en-US" w:eastAsia="zh-CN"/>
        </w:rPr>
        <w:t>欢迎广大干部群众对巡察整改落实情况进行监督。如有意见建议，请及时向我们反映。公开期限：</w:t>
      </w:r>
      <w:r>
        <w:rPr>
          <w:rFonts w:hint="eastAsia" w:ascii="仿宋_GB2312" w:hAnsi="仿宋_GB2312" w:cs="仿宋_GB2312"/>
          <w:b w:val="0"/>
          <w:bCs/>
          <w:color w:val="auto"/>
          <w:spacing w:val="0"/>
          <w:kern w:val="21"/>
          <w:sz w:val="32"/>
          <w:szCs w:val="32"/>
          <w:lang w:val="en-US" w:eastAsia="zh-CN"/>
        </w:rPr>
        <w:t>2025</w:t>
      </w:r>
      <w:r>
        <w:rPr>
          <w:rFonts w:hint="eastAsia" w:ascii="仿宋_GB2312" w:hAnsi="仿宋_GB2312" w:eastAsia="仿宋_GB2312" w:cs="仿宋_GB2312"/>
          <w:b w:val="0"/>
          <w:bCs/>
          <w:color w:val="auto"/>
          <w:spacing w:val="0"/>
          <w:kern w:val="21"/>
          <w:sz w:val="32"/>
          <w:szCs w:val="32"/>
          <w:lang w:val="en-US" w:eastAsia="zh-CN"/>
        </w:rPr>
        <w:t>年</w:t>
      </w:r>
      <w:r>
        <w:rPr>
          <w:rFonts w:hint="eastAsia" w:ascii="仿宋_GB2312" w:hAnsi="仿宋_GB2312" w:cs="仿宋_GB2312"/>
          <w:b w:val="0"/>
          <w:bCs/>
          <w:color w:val="auto"/>
          <w:spacing w:val="0"/>
          <w:kern w:val="21"/>
          <w:sz w:val="32"/>
          <w:szCs w:val="32"/>
          <w:lang w:val="en-US" w:eastAsia="zh-CN"/>
        </w:rPr>
        <w:t>10</w:t>
      </w:r>
      <w:r>
        <w:rPr>
          <w:rFonts w:hint="eastAsia" w:ascii="仿宋_GB2312" w:hAnsi="仿宋_GB2312" w:eastAsia="仿宋_GB2312" w:cs="仿宋_GB2312"/>
          <w:b w:val="0"/>
          <w:bCs/>
          <w:color w:val="auto"/>
          <w:spacing w:val="0"/>
          <w:kern w:val="21"/>
          <w:sz w:val="32"/>
          <w:szCs w:val="32"/>
          <w:lang w:val="en-US" w:eastAsia="zh-CN"/>
        </w:rPr>
        <w:t>月</w:t>
      </w:r>
      <w:r>
        <w:rPr>
          <w:rFonts w:hint="eastAsia" w:ascii="仿宋_GB2312" w:hAnsi="仿宋_GB2312" w:cs="仿宋_GB2312"/>
          <w:b w:val="0"/>
          <w:bCs/>
          <w:color w:val="auto"/>
          <w:spacing w:val="0"/>
          <w:kern w:val="21"/>
          <w:sz w:val="32"/>
          <w:szCs w:val="32"/>
          <w:lang w:val="en-US" w:eastAsia="zh-CN"/>
        </w:rPr>
        <w:t>16</w:t>
      </w:r>
      <w:r>
        <w:rPr>
          <w:rFonts w:hint="eastAsia" w:ascii="仿宋_GB2312" w:hAnsi="仿宋_GB2312" w:eastAsia="仿宋_GB2312" w:cs="仿宋_GB2312"/>
          <w:b w:val="0"/>
          <w:bCs/>
          <w:color w:val="auto"/>
          <w:spacing w:val="0"/>
          <w:kern w:val="21"/>
          <w:sz w:val="32"/>
          <w:szCs w:val="32"/>
          <w:lang w:val="en-US" w:eastAsia="zh-CN"/>
        </w:rPr>
        <w:t>日至</w:t>
      </w:r>
      <w:r>
        <w:rPr>
          <w:rFonts w:hint="eastAsia" w:ascii="仿宋_GB2312" w:hAnsi="仿宋_GB2312" w:cs="仿宋_GB2312"/>
          <w:b w:val="0"/>
          <w:bCs/>
          <w:color w:val="auto"/>
          <w:spacing w:val="0"/>
          <w:kern w:val="21"/>
          <w:sz w:val="32"/>
          <w:szCs w:val="32"/>
          <w:lang w:val="en-US" w:eastAsia="zh-CN"/>
        </w:rPr>
        <w:t>11</w:t>
      </w:r>
      <w:r>
        <w:rPr>
          <w:rFonts w:hint="eastAsia" w:ascii="仿宋_GB2312" w:hAnsi="仿宋_GB2312" w:eastAsia="仿宋_GB2312" w:cs="仿宋_GB2312"/>
          <w:b w:val="0"/>
          <w:bCs/>
          <w:color w:val="auto"/>
          <w:spacing w:val="0"/>
          <w:kern w:val="21"/>
          <w:sz w:val="32"/>
          <w:szCs w:val="32"/>
          <w:lang w:val="en-US" w:eastAsia="zh-CN"/>
        </w:rPr>
        <w:t>月</w:t>
      </w:r>
      <w:r>
        <w:rPr>
          <w:rFonts w:hint="eastAsia" w:ascii="仿宋_GB2312" w:hAnsi="仿宋_GB2312" w:cs="仿宋_GB2312"/>
          <w:b w:val="0"/>
          <w:bCs/>
          <w:color w:val="auto"/>
          <w:spacing w:val="0"/>
          <w:kern w:val="21"/>
          <w:sz w:val="32"/>
          <w:szCs w:val="32"/>
          <w:lang w:val="en-US" w:eastAsia="zh-CN"/>
        </w:rPr>
        <w:t>16</w:t>
      </w:r>
      <w:r>
        <w:rPr>
          <w:rFonts w:hint="eastAsia" w:ascii="仿宋_GB2312" w:hAnsi="仿宋_GB2312" w:eastAsia="仿宋_GB2312" w:cs="仿宋_GB2312"/>
          <w:b w:val="0"/>
          <w:bCs/>
          <w:color w:val="auto"/>
          <w:spacing w:val="0"/>
          <w:kern w:val="21"/>
          <w:sz w:val="32"/>
          <w:szCs w:val="32"/>
          <w:lang w:val="en-US" w:eastAsia="zh-CN"/>
        </w:rPr>
        <w:t>日。联系方式：电话0763-3939799；邮政地址：清远市清城区凤翔北路200号清远星谷科技园一号楼2楼；电子邮箱gdszjc@gdqy.gov.cn。</w:t>
      </w:r>
    </w:p>
    <w:p w14:paraId="5CF425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rPr>
      </w:pPr>
    </w:p>
    <w:p w14:paraId="5D47D0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auto"/>
          <w:spacing w:val="0"/>
          <w:kern w:val="21"/>
          <w:sz w:val="32"/>
          <w:szCs w:val="32"/>
        </w:rPr>
      </w:pPr>
    </w:p>
    <w:p w14:paraId="19AB06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200"/>
        <w:jc w:val="right"/>
        <w:textAlignment w:val="auto"/>
        <w:outlineLvl w:val="9"/>
        <w:rPr>
          <w:rFonts w:hint="eastAsia" w:ascii="仿宋_GB2312" w:hAnsi="仿宋_GB2312" w:eastAsia="仿宋_GB2312" w:cs="仿宋_GB2312"/>
          <w:b w:val="0"/>
          <w:bCs/>
          <w:color w:val="auto"/>
          <w:spacing w:val="0"/>
          <w:kern w:val="21"/>
          <w:sz w:val="32"/>
          <w:szCs w:val="32"/>
        </w:rPr>
      </w:pPr>
      <w:r>
        <w:rPr>
          <w:rFonts w:hint="eastAsia" w:ascii="仿宋_GB2312" w:hAnsi="仿宋_GB2312" w:eastAsia="仿宋_GB2312" w:cs="仿宋_GB2312"/>
          <w:b w:val="0"/>
          <w:bCs/>
          <w:color w:val="auto"/>
          <w:spacing w:val="0"/>
          <w:kern w:val="21"/>
          <w:sz w:val="32"/>
          <w:szCs w:val="32"/>
        </w:rPr>
        <w:t>中共广东省职教城（清远）事务中心党组</w:t>
      </w:r>
    </w:p>
    <w:p w14:paraId="5C8C2D1A">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80" w:firstLineChars="200"/>
        <w:jc w:val="right"/>
        <w:textAlignment w:val="auto"/>
        <w:outlineLvl w:val="9"/>
        <w:rPr>
          <w:rFonts w:hint="eastAsia" w:ascii="仿宋_GB2312" w:hAnsi="仿宋_GB2312" w:eastAsia="仿宋_GB2312" w:cs="仿宋_GB2312"/>
          <w:b w:val="0"/>
          <w:bCs/>
          <w:color w:val="auto"/>
          <w:spacing w:val="0"/>
          <w:kern w:val="21"/>
        </w:rPr>
      </w:pPr>
      <w:r>
        <w:rPr>
          <w:rFonts w:hint="eastAsia" w:ascii="仿宋_GB2312" w:hAnsi="仿宋_GB2312" w:eastAsia="仿宋_GB2312" w:cs="仿宋_GB2312"/>
          <w:b w:val="0"/>
          <w:bCs/>
          <w:color w:val="auto"/>
          <w:spacing w:val="0"/>
          <w:kern w:val="21"/>
          <w:sz w:val="32"/>
          <w:szCs w:val="32"/>
          <w:lang w:val="en-US" w:eastAsia="zh-CN"/>
        </w:rPr>
        <w:t>2025</w:t>
      </w:r>
      <w:r>
        <w:rPr>
          <w:rFonts w:hint="eastAsia" w:ascii="仿宋_GB2312" w:hAnsi="仿宋_GB2312" w:eastAsia="仿宋_GB2312" w:cs="仿宋_GB2312"/>
          <w:b w:val="0"/>
          <w:bCs/>
          <w:color w:val="auto"/>
          <w:spacing w:val="0"/>
          <w:kern w:val="21"/>
          <w:sz w:val="32"/>
          <w:szCs w:val="32"/>
        </w:rPr>
        <w:t>年</w:t>
      </w:r>
      <w:r>
        <w:rPr>
          <w:rFonts w:hint="eastAsia" w:ascii="仿宋_GB2312" w:hAnsi="仿宋_GB2312" w:cs="仿宋_GB2312"/>
          <w:b w:val="0"/>
          <w:bCs/>
          <w:color w:val="auto"/>
          <w:spacing w:val="0"/>
          <w:kern w:val="21"/>
          <w:sz w:val="32"/>
          <w:szCs w:val="32"/>
          <w:lang w:val="en-US" w:eastAsia="zh-CN"/>
        </w:rPr>
        <w:t>10</w:t>
      </w:r>
      <w:r>
        <w:rPr>
          <w:rFonts w:hint="eastAsia" w:ascii="仿宋_GB2312" w:hAnsi="仿宋_GB2312" w:eastAsia="仿宋_GB2312" w:cs="仿宋_GB2312"/>
          <w:b w:val="0"/>
          <w:bCs/>
          <w:color w:val="auto"/>
          <w:spacing w:val="0"/>
          <w:kern w:val="21"/>
          <w:sz w:val="32"/>
          <w:szCs w:val="32"/>
        </w:rPr>
        <w:t>月</w:t>
      </w:r>
      <w:r>
        <w:rPr>
          <w:rFonts w:hint="eastAsia" w:ascii="仿宋_GB2312" w:hAnsi="仿宋_GB2312" w:cs="仿宋_GB2312"/>
          <w:b w:val="0"/>
          <w:bCs/>
          <w:color w:val="auto"/>
          <w:spacing w:val="0"/>
          <w:kern w:val="21"/>
          <w:sz w:val="32"/>
          <w:szCs w:val="32"/>
          <w:lang w:val="en-US" w:eastAsia="zh-CN"/>
        </w:rPr>
        <w:t>16</w:t>
      </w:r>
      <w:r>
        <w:rPr>
          <w:rFonts w:hint="eastAsia" w:ascii="仿宋_GB2312" w:hAnsi="仿宋_GB2312" w:eastAsia="仿宋_GB2312" w:cs="仿宋_GB2312"/>
          <w:b w:val="0"/>
          <w:bCs/>
          <w:color w:val="auto"/>
          <w:spacing w:val="0"/>
          <w:kern w:val="21"/>
          <w:sz w:val="32"/>
          <w:szCs w:val="32"/>
        </w:rPr>
        <w:t>日</w:t>
      </w:r>
      <w:r>
        <w:rPr>
          <w:rFonts w:hint="eastAsia" w:ascii="仿宋_GB2312" w:hAnsi="仿宋_GB2312" w:cs="仿宋_GB2312"/>
          <w:b w:val="0"/>
          <w:bCs/>
          <w:color w:val="auto"/>
          <w:spacing w:val="0"/>
          <w:kern w:val="21"/>
          <w:sz w:val="32"/>
          <w:szCs w:val="32"/>
          <w:lang w:val="en-US" w:eastAsia="zh-CN"/>
        </w:rPr>
        <w:t xml:space="preserve">          </w:t>
      </w:r>
    </w:p>
    <w:p w14:paraId="1E7D735E">
      <w:bookmarkStart w:id="3" w:name="_GoBack"/>
      <w:bookmarkEnd w:id="3"/>
    </w:p>
    <w:sectPr>
      <w:footerReference r:id="rId3" w:type="default"/>
      <w:pgSz w:w="11906" w:h="16838"/>
      <w:pgMar w:top="2154" w:right="1531" w:bottom="1871" w:left="1531" w:header="851" w:footer="992" w:gutter="0"/>
      <w:pgNumType w:fmt="numberInDash" w:start="1"/>
      <w:cols w:space="720" w:num="1"/>
      <w:docGrid w:type="linesAndChars" w:linePitch="58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F068">
    <w:pPr>
      <w:pStyle w:val="2"/>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771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77165"/>
                      </a:xfrm>
                      <a:prstGeom prst="rect">
                        <a:avLst/>
                      </a:prstGeom>
                      <a:noFill/>
                      <a:ln w="15875">
                        <a:noFill/>
                      </a:ln>
                      <a:effectLst/>
                    </wps:spPr>
                    <wps:txbx>
                      <w:txbxContent>
                        <w:p w14:paraId="6891CAB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0pt;height:13.95pt;width:144pt;mso-position-horizontal:outside;mso-position-horizontal-relative:margin;mso-wrap-style:none;z-index:251660288;mso-width-relative:page;mso-height-relative:page;" filled="f" stroked="f" coordsize="21600,21600" o:gfxdata="UEsDBAoAAAAAAIdO4kAAAAAAAAAAAAAAAAAEAAAAZHJzL1BLAwQUAAAACACHTuJA9QtESdIAAAAE&#10;AQAADwAAAGRycy9kb3ducmV2LnhtbE2PQU/DMAyF70j8h8hIu7F01cRKaTpNSBMHLqNMnL3GtNUa&#10;p2uyrfx7DBe4WH561vP3ivXkenWhMXSeDSzmCSji2tuOGwP79+19BipEZIu9ZzLwRQHW5e1Ngbn1&#10;V36jSxUbJSEccjTQxjjkWoe6JYdh7gdi8T796DCKHBttR7xKuOt1miQP2mHH8qHFgZ5bqo/V2RlA&#10;DKneTi9LOr0Oe71bbY4f1c6Y2d0ieQIVaYp/x/CDL+hQCtPBn9kG1RuQIvF3ipdmmciDLKtH0GWh&#10;/8OX31BLAwQUAAAACACHTuJAQPKw1c4BAACWAwAADgAAAGRycy9lMm9Eb2MueG1srVPBjtMwEL0j&#10;8Q+W7zRJpW6jqOlKqFqEhABp4QNcx24s2R7Ldpv0B+APOHHhznf1Oxg7aRctlz1wccYz4+d5zy+b&#10;+9FochI+KLAtrRYlJcJy6JQ9tPTrl4c3NSUhMtsxDVa09CwCvd++frUZXCOW0IPuhCcIYkMzuJb2&#10;MbqmKALvhWFhAU5YLErwhkXc+kPReTYgutHFsizvigF85zxwEQJmd1ORzoj+JYAgpeJiB/xohI0T&#10;qheaRaQUeuUC3eZppRQ8fpIyiEh0S5FpzCtegvE+rcV2w5qDZ65XfB6BvWSEZ5wMUxYvvUHtWGTk&#10;6NU/UEZxDwFkXHAwxUQkK4IsqvKZNo89cyJzQamDu4ke/h8s/3j67Inq0AmUWGbwwS8/vl9+/r78&#10;+kaqJM/gQoNdjw774vgWxtQ65wMmE+tRepO+yIdgHcU938QVYyQ8HaqXdV1iiWOtWq+ru1WCKZ5O&#10;Ox/iOwGGpKClHh8va8pOH0KcWq8t6TILD0przLNGWzIg6Kper/KJWwnRtU0dInthxkmUptFTFMf9&#10;OPPZQ3dGmgP6oaUW7U+Jfm9R7mSda+Cvwf4aHJ1Xhz57K42ZQPG5MrfZWskPf+9z19Pvt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QtESdIAAAAEAQAADwAAAAAAAAABACAAAAAiAAAAZHJzL2Rv&#10;d25yZXYueG1sUEsBAhQAFAAAAAgAh07iQEDysNXOAQAAlgMAAA4AAAAAAAAAAQAgAAAAIQEAAGRy&#10;cy9lMm9Eb2MueG1sUEsFBgAAAAAGAAYAWQEAAGEFAAAAAA==&#10;">
              <v:path/>
              <v:fill on="f" focussize="0,0"/>
              <v:stroke on="f" weight="1.25pt"/>
              <v:imagedata o:title=""/>
              <o:lock v:ext="edit" aspectratio="f"/>
              <v:textbox inset="0mm,0mm,0mm,0mm">
                <w:txbxContent>
                  <w:p w14:paraId="6891CAB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22A4DF8">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path/>
              <v:fill on="f" focussize="0,0"/>
              <v:stroke on="f" weight="1.25pt"/>
              <v:imagedata o:title=""/>
              <o:lock v:ext="edit" aspectratio="f"/>
              <v:textbox inset="0mm,0mm,0mm,0mm" style="mso-fit-shape-to-text:t;">
                <w:txbxContent>
                  <w:p w14:paraId="122A4DF8">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85CA8"/>
    <w:rsid w:val="2C78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lain Text1"/>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2025-10-23T08:41:00Z</dcterms:created>
  <dc:creator>ൠEireneྉൠ</dc:creator>
  <cp:lastModifiedBy>ൠEireneྉൠ</cp:lastModifiedBy>
  <dcterms:modified xsi:type="dcterms:W3CDTF">2025-10-23T08:41:24Z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16D9736BD96B4EB9B5977587BA24A41D_11</vt:lpwstr>
  </property>
  <property fmtid="{D5CDD505-2E9C-101B-9397-08002B2CF9AE}" pid="4" name="KSOTemplateDocerSaveRecord">
    <vt:lpwstr>eyJoZGlkIjoiMzVjMDQzMjI4ZDVkMGE1Y2RmZGIyMDRhYmQxODk4MWEiLCJ1c2VySWQiOiI2Mjc1MDg3MTUifQ==</vt:lpwstr>
  </property>
</Properties>
</file>