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8C299">
      <w:pPr>
        <w:keepNext w:val="0"/>
        <w:keepLines w:val="0"/>
        <w:pageBreakBefore w:val="0"/>
        <w:kinsoku/>
        <w:overflowPunct/>
        <w:topLinePunct w:val="0"/>
        <w:autoSpaceDE/>
        <w:autoSpaceDN/>
        <w:bidi w:val="0"/>
        <w:adjustRightInd/>
        <w:snapToGrid/>
        <w:spacing w:line="58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中共清远市人民政府机关党组关于八届</w:t>
      </w:r>
      <w:r>
        <w:rPr>
          <w:rFonts w:hint="eastAsia" w:ascii="方正小标宋_GBK" w:hAnsi="方正小标宋_GBK" w:eastAsia="方正小标宋_GBK" w:cs="方正小标宋_GBK"/>
          <w:sz w:val="44"/>
          <w:szCs w:val="44"/>
        </w:rPr>
        <w:br w:type="textWrapping"/>
      </w:r>
      <w:r>
        <w:rPr>
          <w:rFonts w:hint="eastAsia" w:ascii="方正小标宋_GBK" w:hAnsi="方正小标宋_GBK" w:eastAsia="方正小标宋_GBK" w:cs="方正小标宋_GBK"/>
          <w:sz w:val="44"/>
          <w:szCs w:val="44"/>
        </w:rPr>
        <w:t>市委第六轮巡察整改</w:t>
      </w:r>
      <w:r>
        <w:rPr>
          <w:rFonts w:hint="eastAsia" w:ascii="方正小标宋_GBK" w:hAnsi="方正小标宋_GBK" w:eastAsia="方正小标宋_GBK" w:cs="方正小标宋_GBK"/>
          <w:sz w:val="44"/>
          <w:szCs w:val="44"/>
          <w:lang w:eastAsia="zh-CN"/>
        </w:rPr>
        <w:t>进展</w:t>
      </w:r>
      <w:r>
        <w:rPr>
          <w:rFonts w:hint="eastAsia" w:ascii="方正小标宋_GBK" w:hAnsi="方正小标宋_GBK" w:eastAsia="方正小标宋_GBK" w:cs="方正小标宋_GBK"/>
          <w:sz w:val="44"/>
          <w:szCs w:val="44"/>
        </w:rPr>
        <w:t>情况的通报</w:t>
      </w:r>
    </w:p>
    <w:p w14:paraId="4A406372">
      <w:pPr>
        <w:keepNext w:val="0"/>
        <w:keepLines w:val="0"/>
        <w:pageBreakBefore w:val="0"/>
        <w:kinsoku/>
        <w:overflowPunct/>
        <w:topLinePunct w:val="0"/>
        <w:autoSpaceDE/>
        <w:autoSpaceDN/>
        <w:bidi w:val="0"/>
        <w:adjustRightInd/>
        <w:snapToGrid/>
        <w:spacing w:line="580" w:lineRule="exact"/>
        <w:ind w:left="0" w:leftChars="0"/>
        <w:textAlignment w:val="auto"/>
        <w:rPr>
          <w:rFonts w:hint="eastAsia" w:ascii="仿宋_GB2312" w:hAnsi="仿宋_GB2312" w:eastAsia="仿宋_GB2312" w:cs="仿宋_GB2312"/>
          <w:sz w:val="32"/>
          <w:szCs w:val="32"/>
        </w:rPr>
      </w:pPr>
    </w:p>
    <w:p w14:paraId="200E9B47">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snapToGrid w:val="0"/>
          <w:color w:val="000000"/>
          <w:kern w:val="0"/>
          <w:sz w:val="32"/>
          <w:u w:val="none"/>
          <w:lang w:eastAsia="zh-CN"/>
        </w:rPr>
      </w:pPr>
      <w:r>
        <w:rPr>
          <w:rFonts w:hint="eastAsia" w:ascii="仿宋_GB2312" w:hAnsi="仿宋_GB2312" w:eastAsia="仿宋_GB2312" w:cs="仿宋_GB2312"/>
          <w:b w:val="0"/>
          <w:bCs w:val="0"/>
          <w:snapToGrid w:val="0"/>
          <w:color w:val="000000"/>
          <w:kern w:val="0"/>
          <w:sz w:val="32"/>
          <w:u w:val="none"/>
          <w:lang w:eastAsia="zh-CN"/>
        </w:rPr>
        <w:t>根据市</w:t>
      </w:r>
      <w:r>
        <w:rPr>
          <w:rFonts w:hint="eastAsia" w:ascii="仿宋_GB2312" w:hAnsi="仿宋_GB2312" w:eastAsia="仿宋_GB2312" w:cs="仿宋_GB2312"/>
          <w:b w:val="0"/>
          <w:bCs w:val="0"/>
          <w:snapToGrid w:val="0"/>
          <w:color w:val="000000"/>
          <w:kern w:val="0"/>
          <w:sz w:val="32"/>
          <w:u w:val="none"/>
        </w:rPr>
        <w:t>委统一部署</w:t>
      </w:r>
      <w:r>
        <w:rPr>
          <w:rFonts w:hint="eastAsia" w:ascii="仿宋_GB2312" w:hAnsi="仿宋_GB2312" w:eastAsia="仿宋_GB2312" w:cs="仿宋_GB2312"/>
          <w:b w:val="0"/>
          <w:bCs w:val="0"/>
          <w:snapToGrid w:val="0"/>
          <w:color w:val="000000"/>
          <w:kern w:val="0"/>
          <w:sz w:val="32"/>
          <w:u w:val="none"/>
          <w:lang w:eastAsia="zh-CN"/>
        </w:rPr>
        <w:t>，</w:t>
      </w:r>
      <w:r>
        <w:rPr>
          <w:rFonts w:hint="eastAsia" w:ascii="仿宋_GB2312" w:hAnsi="仿宋_GB2312" w:eastAsia="仿宋_GB2312" w:cs="仿宋_GB2312"/>
          <w:b w:val="0"/>
          <w:bCs w:val="0"/>
          <w:snapToGrid w:val="0"/>
          <w:color w:val="000000"/>
          <w:kern w:val="0"/>
          <w:sz w:val="32"/>
          <w:u w:val="none"/>
          <w:lang w:val="en-US" w:eastAsia="zh-CN"/>
        </w:rPr>
        <w:t>2024</w:t>
      </w:r>
      <w:r>
        <w:rPr>
          <w:rFonts w:hint="eastAsia" w:ascii="仿宋_GB2312" w:hAnsi="仿宋_GB2312" w:eastAsia="仿宋_GB2312" w:cs="仿宋_GB2312"/>
          <w:b w:val="0"/>
          <w:bCs w:val="0"/>
          <w:snapToGrid w:val="0"/>
          <w:color w:val="000000"/>
          <w:kern w:val="0"/>
          <w:sz w:val="32"/>
          <w:u w:val="none"/>
          <w:lang w:eastAsia="zh-CN"/>
        </w:rPr>
        <w:t>年</w:t>
      </w:r>
      <w:r>
        <w:rPr>
          <w:rFonts w:hint="eastAsia" w:ascii="仿宋_GB2312" w:hAnsi="仿宋_GB2312" w:eastAsia="仿宋_GB2312" w:cs="仿宋_GB2312"/>
          <w:b w:val="0"/>
          <w:bCs w:val="0"/>
          <w:snapToGrid w:val="0"/>
          <w:color w:val="000000"/>
          <w:kern w:val="0"/>
          <w:sz w:val="32"/>
          <w:u w:val="none"/>
          <w:lang w:val="en-US" w:eastAsia="zh-CN"/>
        </w:rPr>
        <w:t>9</w:t>
      </w:r>
      <w:r>
        <w:rPr>
          <w:rFonts w:hint="eastAsia" w:ascii="仿宋_GB2312" w:hAnsi="仿宋_GB2312" w:eastAsia="仿宋_GB2312" w:cs="仿宋_GB2312"/>
          <w:b w:val="0"/>
          <w:bCs w:val="0"/>
          <w:snapToGrid w:val="0"/>
          <w:color w:val="000000"/>
          <w:kern w:val="0"/>
          <w:sz w:val="32"/>
          <w:u w:val="none"/>
          <w:lang w:eastAsia="zh-CN"/>
        </w:rPr>
        <w:t>月</w:t>
      </w:r>
      <w:r>
        <w:rPr>
          <w:rFonts w:hint="eastAsia" w:ascii="仿宋_GB2312" w:hAnsi="仿宋_GB2312" w:eastAsia="仿宋_GB2312" w:cs="仿宋_GB2312"/>
          <w:b w:val="0"/>
          <w:bCs w:val="0"/>
          <w:snapToGrid w:val="0"/>
          <w:color w:val="000000"/>
          <w:kern w:val="0"/>
          <w:sz w:val="32"/>
          <w:u w:val="none"/>
          <w:lang w:val="en-US" w:eastAsia="zh-CN"/>
        </w:rPr>
        <w:t>18</w:t>
      </w:r>
      <w:r>
        <w:rPr>
          <w:rFonts w:hint="eastAsia" w:ascii="仿宋_GB2312" w:hAnsi="仿宋_GB2312" w:eastAsia="仿宋_GB2312" w:cs="仿宋_GB2312"/>
          <w:b w:val="0"/>
          <w:bCs w:val="0"/>
          <w:snapToGrid w:val="0"/>
          <w:color w:val="000000"/>
          <w:kern w:val="0"/>
          <w:sz w:val="32"/>
          <w:u w:val="none"/>
          <w:lang w:eastAsia="zh-CN"/>
        </w:rPr>
        <w:t>日至</w:t>
      </w:r>
      <w:r>
        <w:rPr>
          <w:rFonts w:hint="eastAsia" w:ascii="仿宋_GB2312" w:hAnsi="仿宋_GB2312" w:eastAsia="仿宋_GB2312" w:cs="仿宋_GB2312"/>
          <w:b w:val="0"/>
          <w:bCs w:val="0"/>
          <w:snapToGrid w:val="0"/>
          <w:color w:val="000000"/>
          <w:kern w:val="0"/>
          <w:sz w:val="32"/>
          <w:u w:val="none"/>
          <w:lang w:val="en-US" w:eastAsia="zh-CN"/>
        </w:rPr>
        <w:t>12</w:t>
      </w:r>
      <w:r>
        <w:rPr>
          <w:rFonts w:hint="eastAsia" w:ascii="仿宋_GB2312" w:hAnsi="仿宋_GB2312" w:eastAsia="仿宋_GB2312" w:cs="仿宋_GB2312"/>
          <w:b w:val="0"/>
          <w:bCs w:val="0"/>
          <w:snapToGrid w:val="0"/>
          <w:color w:val="000000"/>
          <w:kern w:val="0"/>
          <w:sz w:val="32"/>
          <w:u w:val="none"/>
          <w:lang w:eastAsia="zh-CN"/>
        </w:rPr>
        <w:t>月</w:t>
      </w:r>
      <w:r>
        <w:rPr>
          <w:rFonts w:hint="eastAsia" w:ascii="仿宋_GB2312" w:hAnsi="仿宋_GB2312" w:eastAsia="仿宋_GB2312" w:cs="仿宋_GB2312"/>
          <w:b w:val="0"/>
          <w:bCs w:val="0"/>
          <w:snapToGrid w:val="0"/>
          <w:color w:val="000000"/>
          <w:kern w:val="0"/>
          <w:sz w:val="32"/>
          <w:u w:val="none"/>
          <w:lang w:val="en-US" w:eastAsia="zh-CN"/>
        </w:rPr>
        <w:t>20</w:t>
      </w:r>
      <w:r>
        <w:rPr>
          <w:rFonts w:hint="eastAsia" w:ascii="仿宋_GB2312" w:hAnsi="仿宋_GB2312" w:eastAsia="仿宋_GB2312" w:cs="仿宋_GB2312"/>
          <w:b w:val="0"/>
          <w:bCs w:val="0"/>
          <w:snapToGrid w:val="0"/>
          <w:color w:val="000000"/>
          <w:kern w:val="0"/>
          <w:sz w:val="32"/>
          <w:u w:val="none"/>
          <w:lang w:eastAsia="zh-CN"/>
        </w:rPr>
        <w:t>日，</w:t>
      </w:r>
      <w:r>
        <w:rPr>
          <w:rFonts w:hint="eastAsia" w:ascii="仿宋_GB2312" w:hAnsi="仿宋_GB2312" w:eastAsia="仿宋_GB2312" w:cs="仿宋_GB2312"/>
          <w:b w:val="0"/>
          <w:bCs w:val="0"/>
          <w:snapToGrid w:val="0"/>
          <w:color w:val="000000"/>
          <w:kern w:val="0"/>
          <w:sz w:val="32"/>
          <w:u w:val="none"/>
          <w:lang w:val="en-US" w:eastAsia="zh-CN"/>
        </w:rPr>
        <w:t>市委第</w:t>
      </w:r>
      <w:r>
        <w:rPr>
          <w:rFonts w:hint="eastAsia" w:ascii="仿宋_GB2312" w:hAnsi="仿宋_GB2312" w:eastAsia="仿宋_GB2312" w:cs="仿宋_GB2312"/>
          <w:b w:val="0"/>
          <w:bCs w:val="0"/>
          <w:snapToGrid w:val="0"/>
          <w:color w:val="000000"/>
          <w:kern w:val="0"/>
          <w:sz w:val="32"/>
          <w:u w:val="none"/>
          <w:lang w:eastAsia="zh-CN"/>
        </w:rPr>
        <w:t>二巡察组对市政府机关党组进行了巡察。</w:t>
      </w:r>
      <w:r>
        <w:rPr>
          <w:rFonts w:hint="eastAsia" w:ascii="仿宋_GB2312" w:hAnsi="仿宋_GB2312" w:eastAsia="仿宋_GB2312" w:cs="仿宋_GB2312"/>
          <w:b w:val="0"/>
          <w:bCs w:val="0"/>
          <w:snapToGrid w:val="0"/>
          <w:color w:val="000000"/>
          <w:kern w:val="0"/>
          <w:sz w:val="32"/>
          <w:u w:val="none"/>
          <w:lang w:val="en-US" w:eastAsia="zh-CN"/>
        </w:rPr>
        <w:t>2025年3月24日，市委第二巡察组向市政府机关党组反馈了巡</w:t>
      </w:r>
      <w:r>
        <w:rPr>
          <w:rFonts w:hint="eastAsia" w:ascii="仿宋_GB2312" w:hAnsi="仿宋_GB2312" w:eastAsia="仿宋_GB2312" w:cs="仿宋_GB2312"/>
          <w:b w:val="0"/>
          <w:bCs w:val="0"/>
          <w:snapToGrid w:val="0"/>
          <w:color w:val="000000"/>
          <w:kern w:val="0"/>
          <w:sz w:val="32"/>
          <w:u w:val="none"/>
          <w:lang w:eastAsia="zh-CN"/>
        </w:rPr>
        <w:t>察意见。按照巡察工作有关要求，</w:t>
      </w:r>
      <w:r>
        <w:rPr>
          <w:rFonts w:hint="eastAsia" w:ascii="仿宋_GB2312" w:hAnsi="仿宋_GB2312" w:eastAsia="仿宋_GB2312" w:cs="仿宋_GB2312"/>
          <w:b w:val="0"/>
          <w:bCs w:val="0"/>
          <w:snapToGrid w:val="0"/>
          <w:color w:val="000000"/>
          <w:kern w:val="0"/>
          <w:sz w:val="32"/>
          <w:u w:val="none"/>
        </w:rPr>
        <w:t>现将</w:t>
      </w:r>
      <w:r>
        <w:rPr>
          <w:rFonts w:hint="eastAsia" w:ascii="仿宋_GB2312" w:hAnsi="仿宋_GB2312" w:eastAsia="仿宋_GB2312" w:cs="仿宋_GB2312"/>
          <w:b w:val="0"/>
          <w:bCs w:val="0"/>
          <w:snapToGrid w:val="0"/>
          <w:color w:val="000000"/>
          <w:kern w:val="0"/>
          <w:sz w:val="32"/>
          <w:u w:val="none"/>
          <w:lang w:eastAsia="zh-CN"/>
        </w:rPr>
        <w:t>巡察整改进展</w:t>
      </w:r>
      <w:r>
        <w:rPr>
          <w:rFonts w:hint="eastAsia" w:ascii="仿宋_GB2312" w:hAnsi="仿宋_GB2312" w:eastAsia="仿宋_GB2312" w:cs="仿宋_GB2312"/>
          <w:b w:val="0"/>
          <w:bCs w:val="0"/>
          <w:snapToGrid w:val="0"/>
          <w:color w:val="000000"/>
          <w:kern w:val="0"/>
          <w:sz w:val="32"/>
          <w:u w:val="none"/>
        </w:rPr>
        <w:t>情况</w:t>
      </w:r>
      <w:r>
        <w:rPr>
          <w:rFonts w:hint="eastAsia" w:ascii="仿宋_GB2312" w:hAnsi="仿宋_GB2312" w:eastAsia="仿宋_GB2312" w:cs="仿宋_GB2312"/>
          <w:b w:val="0"/>
          <w:bCs w:val="0"/>
          <w:snapToGrid w:val="0"/>
          <w:color w:val="000000"/>
          <w:kern w:val="0"/>
          <w:sz w:val="32"/>
          <w:u w:val="none"/>
          <w:lang w:eastAsia="zh-CN"/>
        </w:rPr>
        <w:t>予以公布。</w:t>
      </w:r>
    </w:p>
    <w:p w14:paraId="23D5774C">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b w:val="0"/>
          <w:bCs w:val="0"/>
          <w:snapToGrid w:val="0"/>
          <w:color w:val="000000"/>
          <w:kern w:val="0"/>
          <w:sz w:val="32"/>
          <w:u w:val="none"/>
          <w:lang w:eastAsia="zh-CN"/>
        </w:rPr>
      </w:pPr>
      <w:r>
        <w:rPr>
          <w:rFonts w:hint="eastAsia" w:ascii="黑体" w:hAnsi="黑体" w:eastAsia="黑体" w:cs="黑体"/>
          <w:b w:val="0"/>
          <w:bCs w:val="0"/>
          <w:snapToGrid w:val="0"/>
          <w:color w:val="000000"/>
          <w:kern w:val="0"/>
          <w:sz w:val="32"/>
          <w:u w:val="none"/>
          <w:lang w:eastAsia="zh-CN"/>
        </w:rPr>
        <w:t>一、市政府机关党组履行巡察整改主体责任情况</w:t>
      </w:r>
    </w:p>
    <w:p w14:paraId="6388D24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snapToGrid w:val="0"/>
          <w:color w:val="000000"/>
          <w:kern w:val="0"/>
          <w:sz w:val="32"/>
          <w:u w:val="none"/>
          <w:lang w:eastAsia="zh-CN"/>
        </w:rPr>
      </w:pPr>
      <w:r>
        <w:rPr>
          <w:rFonts w:hint="eastAsia" w:ascii="仿宋_GB2312" w:hAnsi="仿宋_GB2312" w:eastAsia="仿宋_GB2312" w:cs="仿宋_GB2312"/>
          <w:b w:val="0"/>
          <w:bCs w:val="0"/>
          <w:snapToGrid w:val="0"/>
          <w:color w:val="000000"/>
          <w:kern w:val="0"/>
          <w:sz w:val="32"/>
          <w:u w:val="none"/>
          <w:lang w:eastAsia="zh-CN"/>
        </w:rPr>
        <w:t>市政府机关党组坚持以习近平新时代中国特色社会主义思想为指导，深入学习贯彻习近平总书记关于党的自我革命的重要思想、关于巡视工作的重要论述，认真贯彻落实《中国共产党巡视工作条例》，坚决扛牢巡察整改政治责任，把巡察整改作为改进作风、提升效能、推动市政府办公室工作高质量发展的重要契机，周密部署、压实责任、全面整改，确保整改工作取得扎实成效。</w:t>
      </w:r>
    </w:p>
    <w:p w14:paraId="2C8AD9E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snapToGrid w:val="0"/>
          <w:color w:val="000000"/>
          <w:kern w:val="0"/>
          <w:sz w:val="32"/>
          <w:u w:val="none"/>
          <w:lang w:eastAsia="zh-CN"/>
        </w:rPr>
      </w:pPr>
      <w:r>
        <w:rPr>
          <w:rFonts w:hint="eastAsia" w:ascii="楷体_GB2312" w:hAnsi="楷体_GB2312" w:eastAsia="楷体_GB2312" w:cs="楷体_GB2312"/>
          <w:b w:val="0"/>
          <w:bCs w:val="0"/>
          <w:snapToGrid w:val="0"/>
          <w:color w:val="000000"/>
          <w:kern w:val="0"/>
          <w:sz w:val="32"/>
          <w:u w:val="none"/>
          <w:lang w:eastAsia="zh-CN"/>
        </w:rPr>
        <w:t>（一）加强组织领导，压实整改责任</w:t>
      </w:r>
      <w:r>
        <w:rPr>
          <w:rFonts w:hint="eastAsia" w:ascii="仿宋_GB2312" w:hAnsi="仿宋_GB2312" w:eastAsia="仿宋_GB2312" w:cs="仿宋_GB2312"/>
          <w:b w:val="0"/>
          <w:bCs w:val="0"/>
          <w:snapToGrid w:val="0"/>
          <w:color w:val="000000"/>
          <w:kern w:val="0"/>
          <w:sz w:val="32"/>
          <w:u w:val="none"/>
          <w:lang w:eastAsia="zh-CN"/>
        </w:rPr>
        <w:t>。市委第二巡察组反馈巡察意见后，第一时间召开市政府机关党组会议，认真学习市委巡察反馈意见和工作要求，研究部署推进巡察整改工作。成立由市政府机关党组书记任组长的巡察整改工作领导小组，统筹推进巡察整改工作。市政府机关党组书记认真履行整改第一责任人责任，带头领办重点难点问题；党组成员严格落实“一岗双责”，抓好分管领域整改落实。各科（室、中心）负责人主动领责担责，齐抓共管推动整改任务落实。</w:t>
      </w:r>
    </w:p>
    <w:p w14:paraId="5BEFAF42">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snapToGrid w:val="0"/>
          <w:color w:val="000000"/>
          <w:kern w:val="0"/>
          <w:sz w:val="32"/>
          <w:u w:val="none"/>
          <w:lang w:eastAsia="zh-CN"/>
        </w:rPr>
      </w:pPr>
      <w:r>
        <w:rPr>
          <w:rFonts w:hint="eastAsia" w:ascii="楷体_GB2312" w:hAnsi="楷体_GB2312" w:eastAsia="楷体_GB2312" w:cs="楷体_GB2312"/>
          <w:b w:val="0"/>
          <w:bCs w:val="0"/>
          <w:snapToGrid w:val="0"/>
          <w:color w:val="000000"/>
          <w:kern w:val="0"/>
          <w:sz w:val="32"/>
          <w:u w:val="none"/>
          <w:lang w:eastAsia="zh-CN"/>
        </w:rPr>
        <w:t>（二）坚持问题导向，细化整改措施</w:t>
      </w:r>
      <w:r>
        <w:rPr>
          <w:rFonts w:hint="eastAsia" w:ascii="仿宋_GB2312" w:hAnsi="仿宋_GB2312" w:eastAsia="仿宋_GB2312" w:cs="仿宋_GB2312"/>
          <w:b w:val="0"/>
          <w:bCs w:val="0"/>
          <w:snapToGrid w:val="0"/>
          <w:color w:val="000000"/>
          <w:kern w:val="0"/>
          <w:sz w:val="32"/>
          <w:u w:val="none"/>
          <w:lang w:eastAsia="zh-CN"/>
        </w:rPr>
        <w:t>。严格对照巡察反馈意见，逐条逐项研究整改措施，制定详细的整改方案，建立整改台账，明确责任领导、责任科室和完成时限。聚焦持续抓好上一轮巡察发现问题整改落实、贯彻落实上级决策部署、抓好内部管理风险防控、加强党组织和党员队伍建设等重点方面，分类施策、对症下药。实行清单化管理，定期调度整改进展，加强跟踪问效，确保各项整改任务按时保质完成。</w:t>
      </w:r>
    </w:p>
    <w:p w14:paraId="3CF89F66">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snapToGrid w:val="0"/>
          <w:color w:val="000000"/>
          <w:kern w:val="0"/>
          <w:sz w:val="32"/>
          <w:u w:val="none"/>
          <w:lang w:eastAsia="zh-CN"/>
        </w:rPr>
      </w:pPr>
      <w:r>
        <w:rPr>
          <w:rFonts w:hint="eastAsia" w:ascii="楷体_GB2312" w:hAnsi="楷体_GB2312" w:eastAsia="楷体_GB2312" w:cs="楷体_GB2312"/>
          <w:b w:val="0"/>
          <w:bCs w:val="0"/>
          <w:snapToGrid w:val="0"/>
          <w:color w:val="000000"/>
          <w:kern w:val="0"/>
          <w:sz w:val="32"/>
          <w:u w:val="none"/>
          <w:lang w:val="en-US" w:eastAsia="zh-CN"/>
        </w:rPr>
        <w:t>（三）深挖问题根源，注重标本兼治</w:t>
      </w:r>
      <w:r>
        <w:rPr>
          <w:rFonts w:hint="eastAsia" w:ascii="仿宋_GB2312" w:hAnsi="仿宋_GB2312" w:eastAsia="仿宋_GB2312" w:cs="仿宋_GB2312"/>
          <w:b w:val="0"/>
          <w:bCs w:val="0"/>
          <w:snapToGrid w:val="0"/>
          <w:color w:val="000000"/>
          <w:kern w:val="0"/>
          <w:sz w:val="32"/>
          <w:u w:val="none"/>
          <w:lang w:val="en-US" w:eastAsia="zh-CN"/>
        </w:rPr>
        <w:t>。</w:t>
      </w:r>
      <w:r>
        <w:rPr>
          <w:rFonts w:hint="eastAsia" w:ascii="仿宋_GB2312" w:hAnsi="仿宋_GB2312" w:eastAsia="仿宋_GB2312" w:cs="仿宋_GB2312"/>
          <w:b w:val="0"/>
          <w:bCs w:val="0"/>
          <w:snapToGrid w:val="0"/>
          <w:color w:val="000000"/>
          <w:kern w:val="0"/>
          <w:sz w:val="32"/>
          <w:u w:val="none"/>
          <w:lang w:eastAsia="zh-CN"/>
        </w:rPr>
        <w:t>召开党组领导班子巡察整改专题民主生活会，对照巡察反馈意见深入检视问题、剖析根源，明确整改方向。坚持“当下改”与“长久立”相结合，在抓好反馈意见整改的同时，举一反三、以点带面，深入查找制度机制漏洞。着力构建务实管用的长效机制，扎紧制度笼子，堵塞漏洞、补齐短板、防止反弹，持续巩固深化整改成果。</w:t>
      </w:r>
    </w:p>
    <w:p w14:paraId="53BB5395">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b w:val="0"/>
          <w:bCs w:val="0"/>
          <w:snapToGrid w:val="0"/>
          <w:color w:val="000000"/>
          <w:kern w:val="0"/>
          <w:sz w:val="32"/>
          <w:u w:val="none"/>
          <w:lang w:val="en-US" w:eastAsia="zh-CN"/>
        </w:rPr>
      </w:pPr>
      <w:r>
        <w:rPr>
          <w:rFonts w:hint="eastAsia" w:ascii="黑体" w:hAnsi="黑体" w:eastAsia="黑体" w:cs="黑体"/>
          <w:b w:val="0"/>
          <w:bCs w:val="0"/>
          <w:snapToGrid w:val="0"/>
          <w:color w:val="000000"/>
          <w:kern w:val="0"/>
          <w:sz w:val="32"/>
          <w:u w:val="none"/>
          <w:lang w:val="en-US" w:eastAsia="zh-CN"/>
        </w:rPr>
        <w:t>二、巡察整改任务落实情况</w:t>
      </w:r>
    </w:p>
    <w:p w14:paraId="5696D01A">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u w:val="none"/>
          <w:lang w:val="en-US" w:eastAsia="zh-CN"/>
        </w:rPr>
      </w:pPr>
      <w:r>
        <w:rPr>
          <w:rFonts w:hint="eastAsia" w:ascii="楷体_GB2312" w:hAnsi="楷体_GB2312" w:eastAsia="楷体_GB2312" w:cs="楷体_GB2312"/>
          <w:b w:val="0"/>
          <w:bCs w:val="0"/>
          <w:sz w:val="32"/>
          <w:szCs w:val="32"/>
          <w:u w:val="none"/>
          <w:lang w:val="en-US" w:eastAsia="zh-CN"/>
        </w:rPr>
        <w:t>（一）关于贯彻落实上级决策部署方面</w:t>
      </w:r>
    </w:p>
    <w:p w14:paraId="32446A1E">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val="0"/>
          <w:bCs w:val="0"/>
          <w:snapToGrid w:val="0"/>
          <w:color w:val="000000"/>
          <w:kern w:val="0"/>
          <w:sz w:val="32"/>
          <w:u w:val="none"/>
          <w:lang w:val="en-US" w:eastAsia="zh-CN"/>
        </w:rPr>
      </w:pPr>
      <w:r>
        <w:rPr>
          <w:rFonts w:hint="eastAsia" w:ascii="仿宋_GB2312" w:hAnsi="仿宋_GB2312" w:eastAsia="仿宋_GB2312" w:cs="仿宋_GB2312"/>
          <w:b/>
          <w:bCs/>
          <w:sz w:val="32"/>
          <w:szCs w:val="32"/>
          <w:u w:val="none"/>
          <w:lang w:val="en-US" w:eastAsia="zh-CN"/>
        </w:rPr>
        <w:t>1.深化理论学习。</w:t>
      </w:r>
      <w:r>
        <w:rPr>
          <w:rFonts w:hint="eastAsia" w:ascii="仿宋_GB2312" w:hAnsi="仿宋_GB2312" w:eastAsia="仿宋_GB2312" w:cs="仿宋_GB2312"/>
          <w:b w:val="0"/>
          <w:bCs w:val="0"/>
          <w:sz w:val="32"/>
          <w:szCs w:val="32"/>
          <w:u w:val="none"/>
          <w:lang w:val="en-US" w:eastAsia="zh-CN"/>
        </w:rPr>
        <w:t>一是切实抓好机关党组理论学习中心组学习。</w:t>
      </w:r>
      <w:r>
        <w:rPr>
          <w:rFonts w:hint="eastAsia" w:ascii="仿宋_GB2312" w:hAnsi="仿宋_GB2312" w:eastAsia="仿宋_GB2312" w:cs="仿宋_GB2312"/>
          <w:b w:val="0"/>
          <w:bCs w:val="0"/>
          <w:snapToGrid w:val="0"/>
          <w:color w:val="000000"/>
          <w:kern w:val="0"/>
          <w:sz w:val="32"/>
          <w:u w:val="none"/>
          <w:lang w:val="en-US" w:eastAsia="zh-CN"/>
        </w:rPr>
        <w:t>及时组织学习必学专题。</w:t>
      </w:r>
      <w:r>
        <w:rPr>
          <w:rFonts w:hint="eastAsia" w:ascii="仿宋_GB2312" w:hAnsi="仿宋_GB2312" w:eastAsia="仿宋_GB2312" w:cs="仿宋_GB2312"/>
          <w:b w:val="0"/>
          <w:bCs w:val="0"/>
          <w:snapToGrid w:val="0"/>
          <w:color w:val="000000"/>
          <w:kern w:val="0"/>
          <w:sz w:val="32"/>
          <w:u w:val="none"/>
          <w:lang w:val="en" w:eastAsia="zh-CN"/>
        </w:rPr>
        <w:t>印发《中共清远市人民政府机关党组理论学习中心组</w:t>
      </w:r>
      <w:r>
        <w:rPr>
          <w:rFonts w:hint="eastAsia" w:ascii="仿宋_GB2312" w:hAnsi="仿宋_GB2312" w:eastAsia="仿宋_GB2312" w:cs="仿宋_GB2312"/>
          <w:b w:val="0"/>
          <w:bCs w:val="0"/>
          <w:snapToGrid w:val="0"/>
          <w:color w:val="000000"/>
          <w:kern w:val="0"/>
          <w:sz w:val="32"/>
          <w:u w:val="none"/>
          <w:lang w:val="en-US" w:eastAsia="zh-CN"/>
        </w:rPr>
        <w:t>2025年学习计划</w:t>
      </w:r>
      <w:r>
        <w:rPr>
          <w:rFonts w:hint="eastAsia" w:ascii="仿宋_GB2312" w:hAnsi="仿宋_GB2312" w:eastAsia="仿宋_GB2312" w:cs="仿宋_GB2312"/>
          <w:b w:val="0"/>
          <w:bCs w:val="0"/>
          <w:snapToGrid w:val="0"/>
          <w:color w:val="000000"/>
          <w:kern w:val="0"/>
          <w:sz w:val="32"/>
          <w:u w:val="none"/>
          <w:lang w:val="en" w:eastAsia="zh-CN"/>
        </w:rPr>
        <w:t>》，明确总体目标、学习重点、参学范围、学习形式、学习要求等内容，建立年度理论学习台账并及时更新，理论学习中心组学习有序开展。</w:t>
      </w:r>
      <w:r>
        <w:rPr>
          <w:rFonts w:hint="eastAsia" w:ascii="仿宋_GB2312" w:hAnsi="仿宋_GB2312" w:eastAsia="仿宋_GB2312" w:cs="仿宋_GB2312"/>
          <w:b w:val="0"/>
          <w:bCs w:val="0"/>
          <w:snapToGrid w:val="0"/>
          <w:color w:val="000000"/>
          <w:kern w:val="0"/>
          <w:sz w:val="32"/>
          <w:u w:val="none"/>
          <w:lang w:val="en-US" w:eastAsia="zh-CN"/>
        </w:rPr>
        <w:t>党组成员理论学习的自觉性和成效有较大提升，理论学习也更有深度和针对性。二是加强对下属事业单位落实“第一议题”制度的指导。建立监督指导机制，要求下属事业单位定期向市政府机关党组报告落实“第一议题”情况并提交“第一议题”台账，督促其增强落实“第一议题”制度的责任意识，指导其严格按要求落实“第一议题”制度。</w:t>
      </w:r>
    </w:p>
    <w:p w14:paraId="6B99DE96">
      <w:pPr>
        <w:keepNext w:val="0"/>
        <w:keepLines w:val="0"/>
        <w:pageBreakBefore w:val="0"/>
        <w:kinsoku/>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snapToGrid w:val="0"/>
          <w:color w:val="000000"/>
          <w:kern w:val="0"/>
          <w:sz w:val="32"/>
          <w:u w:val="none"/>
          <w:lang w:val="en-US" w:eastAsia="zh-CN"/>
        </w:rPr>
      </w:pPr>
      <w:r>
        <w:rPr>
          <w:rFonts w:hint="eastAsia" w:ascii="仿宋_GB2312" w:hAnsi="仿宋_GB2312" w:eastAsia="仿宋_GB2312" w:cs="仿宋_GB2312"/>
          <w:b/>
          <w:bCs/>
          <w:snapToGrid w:val="0"/>
          <w:color w:val="000000"/>
          <w:kern w:val="0"/>
          <w:sz w:val="32"/>
          <w:u w:val="none"/>
          <w:lang w:val="en-US" w:eastAsia="zh-CN"/>
        </w:rPr>
        <w:t>2.加大政务公开力度。一是</w:t>
      </w:r>
      <w:r>
        <w:rPr>
          <w:rFonts w:hint="eastAsia" w:ascii="仿宋_GB2312" w:hAnsi="仿宋_GB2312" w:eastAsia="仿宋_GB2312" w:cs="仿宋_GB2312"/>
          <w:b w:val="0"/>
          <w:bCs w:val="0"/>
          <w:snapToGrid w:val="0"/>
          <w:color w:val="000000"/>
          <w:kern w:val="0"/>
          <w:sz w:val="32"/>
          <w:u w:val="none"/>
          <w:lang w:val="en-US" w:eastAsia="zh-CN"/>
        </w:rPr>
        <w:t>推进发布审核工作制度化、规范化。明确“三审三校”审核流程、审核标准，以及各环节的人员责任和不能公开的信息范围，进一步提高了政府信息发布的质量。</w:t>
      </w:r>
      <w:r>
        <w:rPr>
          <w:rFonts w:hint="eastAsia" w:ascii="仿宋_GB2312" w:hAnsi="仿宋_GB2312" w:eastAsia="仿宋_GB2312" w:cs="仿宋_GB2312"/>
          <w:b/>
          <w:bCs/>
          <w:snapToGrid w:val="0"/>
          <w:color w:val="000000"/>
          <w:kern w:val="0"/>
          <w:sz w:val="32"/>
          <w:u w:val="none"/>
          <w:lang w:val="en-US" w:eastAsia="zh-CN"/>
        </w:rPr>
        <w:t>二是</w:t>
      </w:r>
      <w:r>
        <w:rPr>
          <w:rFonts w:hint="eastAsia" w:ascii="仿宋_GB2312" w:hAnsi="仿宋_GB2312" w:eastAsia="仿宋_GB2312" w:cs="仿宋_GB2312"/>
          <w:b w:val="0"/>
          <w:bCs w:val="0"/>
          <w:snapToGrid w:val="0"/>
          <w:color w:val="000000"/>
          <w:kern w:val="0"/>
          <w:sz w:val="32"/>
          <w:u w:val="none"/>
          <w:lang w:val="en-US" w:eastAsia="zh-CN"/>
        </w:rPr>
        <w:t>持续优化监测机制。</w:t>
      </w:r>
      <w:r>
        <w:rPr>
          <w:rFonts w:hint="eastAsia" w:ascii="仿宋_GB2312" w:hAnsi="仿宋_GB2312" w:eastAsia="仿宋_GB2312" w:cs="仿宋_GB2312"/>
          <w:b w:val="0"/>
          <w:bCs w:val="0"/>
          <w:color w:val="auto"/>
          <w:sz w:val="32"/>
          <w:szCs w:val="32"/>
          <w:u w:val="none"/>
          <w:lang w:val="en-US" w:eastAsia="zh-CN"/>
        </w:rPr>
        <w:t>建立健全常态化监测机制，采取“人工+智能”双轨并行方式对全市政府网站及政务新媒体平台开展全面巡查，重点围绕信息发布时效性、内容准确性、服务实用性、互动响应度、安全防护能力等关键指标进行系统化监测。</w:t>
      </w:r>
      <w:r>
        <w:rPr>
          <w:rFonts w:hint="eastAsia" w:ascii="仿宋_GB2312" w:hAnsi="仿宋_GB2312" w:eastAsia="仿宋_GB2312" w:cs="仿宋_GB2312"/>
          <w:b/>
          <w:bCs/>
          <w:snapToGrid w:val="0"/>
          <w:color w:val="000000"/>
          <w:kern w:val="0"/>
          <w:sz w:val="32"/>
          <w:u w:val="none"/>
          <w:lang w:val="en-US" w:eastAsia="zh-CN"/>
        </w:rPr>
        <w:t>三是</w:t>
      </w:r>
      <w:r>
        <w:rPr>
          <w:rFonts w:hint="eastAsia" w:ascii="仿宋_GB2312" w:hAnsi="仿宋_GB2312" w:eastAsia="仿宋_GB2312" w:cs="仿宋_GB2312"/>
          <w:b w:val="0"/>
          <w:bCs w:val="0"/>
          <w:snapToGrid w:val="0"/>
          <w:color w:val="000000"/>
          <w:kern w:val="0"/>
          <w:sz w:val="32"/>
          <w:u w:val="none"/>
          <w:lang w:val="en-US" w:eastAsia="zh-CN"/>
        </w:rPr>
        <w:t>加强政务资源整合。在处理政府信息申请公开工作上，通过整合政府各部门的数据资源，加强跨部门、跨层级人员业务沟通等手段，实现信息共享和协同处理，缩短了申请政府信息公开的办理时间，有效回应社会关切。</w:t>
      </w:r>
    </w:p>
    <w:p w14:paraId="3D0019B8">
      <w:pPr>
        <w:keepNext w:val="0"/>
        <w:keepLines w:val="0"/>
        <w:pageBreakBefore w:val="0"/>
        <w:kinsoku/>
        <w:overflowPunct/>
        <w:topLinePunct w:val="0"/>
        <w:autoSpaceDE/>
        <w:autoSpaceDN/>
        <w:bidi w:val="0"/>
        <w:adjustRightInd/>
        <w:snapToGrid/>
        <w:spacing w:line="580" w:lineRule="exact"/>
        <w:ind w:firstLine="642"/>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snapToGrid w:val="0"/>
          <w:color w:val="000000"/>
          <w:kern w:val="0"/>
          <w:sz w:val="32"/>
          <w:u w:val="none"/>
          <w:lang w:val="en-US" w:eastAsia="zh-CN"/>
        </w:rPr>
        <w:t>3.加强公文办理审核把关。</w:t>
      </w:r>
      <w:r>
        <w:rPr>
          <w:rFonts w:hint="eastAsia" w:ascii="仿宋_GB2312" w:hAnsi="仿宋_GB2312" w:eastAsia="仿宋_GB2312" w:cs="仿宋_GB2312"/>
          <w:color w:val="auto"/>
          <w:sz w:val="32"/>
          <w:szCs w:val="32"/>
          <w:u w:val="none"/>
          <w:lang w:val="en-US" w:eastAsia="zh-CN"/>
        </w:rPr>
        <w:t>进一步强化公文的审核力度，</w:t>
      </w:r>
      <w:r>
        <w:rPr>
          <w:rFonts w:hint="eastAsia" w:ascii="仿宋_GB2312" w:hAnsi="仿宋_GB2312" w:eastAsia="仿宋_GB2312" w:cs="仿宋_GB2312"/>
          <w:b w:val="0"/>
          <w:bCs w:val="0"/>
          <w:snapToGrid w:val="0"/>
          <w:color w:val="auto"/>
          <w:kern w:val="0"/>
          <w:sz w:val="32"/>
          <w:u w:val="none"/>
          <w:lang w:val="en-US" w:eastAsia="zh-CN"/>
        </w:rPr>
        <w:t>发布发文流程规范化管理要求，建立监督检查机制，加强发文管理。</w:t>
      </w:r>
      <w:r>
        <w:rPr>
          <w:rFonts w:hint="eastAsia" w:ascii="仿宋_GB2312" w:hAnsi="仿宋_GB2312" w:eastAsia="仿宋_GB2312" w:cs="仿宋_GB2312"/>
          <w:color w:val="auto"/>
          <w:sz w:val="32"/>
          <w:szCs w:val="32"/>
          <w:u w:val="none"/>
          <w:lang w:val="en-US" w:eastAsia="zh-CN"/>
        </w:rPr>
        <w:t>在各项措施的推动下，公文办理时效提升，公文运转速度加快，已发公文退回重发的数量大幅减少。</w:t>
      </w:r>
    </w:p>
    <w:p w14:paraId="6EC02ECE">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pPr>
      <w:r>
        <w:rPr>
          <w:rFonts w:hint="eastAsia" w:ascii="仿宋_GB2312" w:hAnsi="仿宋_GB2312" w:eastAsia="仿宋_GB2312" w:cs="仿宋_GB2312"/>
          <w:b/>
          <w:bCs/>
          <w:color w:val="auto"/>
          <w:sz w:val="32"/>
          <w:szCs w:val="32"/>
          <w:u w:val="none"/>
          <w:lang w:val="en-US" w:eastAsia="zh-CN"/>
        </w:rPr>
        <w:t>4.抓好政府重点工作事项跟踪落实。</w:t>
      </w:r>
      <w:r>
        <w:rPr>
          <w:rFonts w:hint="eastAsia" w:ascii="仿宋_GB2312" w:hAnsi="仿宋_GB2312" w:eastAsia="仿宋_GB2312" w:cs="仿宋_GB2312"/>
          <w:b w:val="0"/>
          <w:bCs w:val="0"/>
          <w:snapToGrid w:val="0"/>
          <w:color w:val="000000"/>
          <w:kern w:val="0"/>
          <w:sz w:val="32"/>
          <w:u w:val="none"/>
          <w:lang w:val="en-US" w:eastAsia="zh-CN"/>
        </w:rPr>
        <w:t>一是对以往年度政府重点工作事项落实情况进行“回头看”，逐条研判各项重点工作是否落实到位，对其中跨年度或当年未完成的事项，逐一与各牵头部门进行核实，并登记造册，形成事项清单。二是将事项清单全部纳入年度重点跟踪督办内容，逐一了解事项进展情况、存在问题及下一步计划，提出针对性的意见建议。三是将需各地、各部门报送的各类材料表格，整合成四张统计表，通过</w:t>
      </w:r>
      <w:bookmarkStart w:id="0" w:name="hmcheck_352174f706674634bc698a556998bad4"/>
      <w:r>
        <w:rPr>
          <w:rFonts w:hint="eastAsia" w:ascii="仿宋_GB2312" w:hAnsi="仿宋_GB2312" w:eastAsia="仿宋_GB2312" w:cs="仿宋_GB2312"/>
          <w:b w:val="0"/>
          <w:bCs w:val="0"/>
          <w:snapToGrid w:val="0"/>
          <w:color w:val="000000"/>
          <w:kern w:val="0"/>
          <w:sz w:val="32"/>
          <w:u w:val="none"/>
          <w:shd w:val="clear" w:color="auto" w:fill="FFFFFF"/>
          <w:lang w:val="en-US" w:eastAsia="zh-CN"/>
        </w:rPr>
        <w:t>粤政易</w:t>
      </w:r>
      <w:bookmarkEnd w:id="0"/>
      <w:r>
        <w:rPr>
          <w:rFonts w:hint="eastAsia" w:ascii="仿宋_GB2312" w:hAnsi="仿宋_GB2312" w:eastAsia="仿宋_GB2312" w:cs="仿宋_GB2312"/>
          <w:b w:val="0"/>
          <w:bCs w:val="0"/>
          <w:snapToGrid w:val="0"/>
          <w:color w:val="000000"/>
          <w:kern w:val="0"/>
          <w:sz w:val="32"/>
          <w:u w:val="none"/>
          <w:lang w:val="en-US" w:eastAsia="zh-CN"/>
        </w:rPr>
        <w:t>督办平台下发；同时，全面落实为基层减负工作要求</w:t>
      </w:r>
      <w:r>
        <w:rPr>
          <w:rFonts w:hint="eastAsia" w:ascii="仿宋_GB2312" w:hAnsi="仿宋_GB2312" w:eastAsia="仿宋_GB2312" w:cs="仿宋_GB2312"/>
          <w:b w:val="0"/>
          <w:bCs w:val="0"/>
          <w:snapToGrid w:val="0"/>
          <w:color w:val="000000"/>
          <w:kern w:val="0"/>
          <w:sz w:val="32"/>
          <w:u w:val="none"/>
          <w:lang w:val="en" w:eastAsia="zh-CN"/>
        </w:rPr>
        <w:t>，</w:t>
      </w:r>
      <w:r>
        <w:rPr>
          <w:rFonts w:hint="eastAsia" w:ascii="仿宋_GB2312" w:hAnsi="仿宋_GB2312" w:eastAsia="仿宋_GB2312" w:cs="仿宋_GB2312"/>
          <w:b w:val="0"/>
          <w:bCs w:val="0"/>
          <w:snapToGrid w:val="0"/>
          <w:color w:val="000000"/>
          <w:kern w:val="0"/>
          <w:sz w:val="32"/>
          <w:u w:val="none"/>
          <w:lang w:val="en-US" w:eastAsia="zh-CN"/>
        </w:rPr>
        <w:t>优化跟踪督办机制，减少报送频次，最大限度减轻各地各部门填表报材料的负担。</w:t>
      </w:r>
    </w:p>
    <w:p w14:paraId="1B2FCE55">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napToGrid w:val="0"/>
          <w:color w:val="000000"/>
          <w:kern w:val="0"/>
          <w:sz w:val="32"/>
          <w:u w:val="none"/>
          <w:lang w:val="en-US" w:eastAsia="zh-CN"/>
        </w:rPr>
      </w:pPr>
      <w:r>
        <w:rPr>
          <w:rFonts w:hint="eastAsia" w:ascii="楷体_GB2312" w:hAnsi="楷体_GB2312" w:eastAsia="楷体_GB2312" w:cs="楷体_GB2312"/>
          <w:b w:val="0"/>
          <w:bCs w:val="0"/>
          <w:snapToGrid w:val="0"/>
          <w:color w:val="000000"/>
          <w:kern w:val="0"/>
          <w:sz w:val="32"/>
          <w:u w:val="none"/>
          <w:lang w:val="en-US" w:eastAsia="zh-CN"/>
        </w:rPr>
        <w:t>（二）关于加强内部管理风险防控方面</w:t>
      </w:r>
    </w:p>
    <w:p w14:paraId="12BC2CA5">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left"/>
        <w:textAlignment w:val="auto"/>
        <w:outlineLvl w:val="9"/>
        <w:rPr>
          <w:rFonts w:hint="eastAsia" w:ascii="仿宋_GB2312" w:hAnsi="仿宋_GB2312" w:eastAsia="仿宋_GB2312" w:cs="仿宋_GB2312"/>
          <w:b w:val="0"/>
          <w:bCs/>
          <w:color w:val="000000"/>
          <w:spacing w:val="8"/>
          <w:sz w:val="32"/>
          <w:szCs w:val="32"/>
          <w:u w:val="none"/>
          <w:lang w:val="en-US" w:eastAsia="zh-CN"/>
        </w:rPr>
      </w:pPr>
      <w:r>
        <w:rPr>
          <w:rFonts w:hint="eastAsia" w:ascii="仿宋_GB2312" w:hAnsi="仿宋_GB2312" w:eastAsia="仿宋_GB2312" w:cs="仿宋_GB2312"/>
          <w:b/>
          <w:bCs/>
          <w:snapToGrid w:val="0"/>
          <w:color w:val="000000"/>
          <w:kern w:val="0"/>
          <w:sz w:val="32"/>
          <w:u w:val="none"/>
          <w:lang w:val="en-US" w:eastAsia="zh-CN"/>
        </w:rPr>
        <w:t>5.进一步规范政府采购工作。</w:t>
      </w:r>
      <w:r>
        <w:rPr>
          <w:rFonts w:hint="eastAsia" w:ascii="仿宋_GB2312" w:hAnsi="仿宋_GB2312" w:eastAsia="仿宋_GB2312" w:cs="仿宋_GB2312"/>
          <w:b w:val="0"/>
          <w:bCs/>
          <w:color w:val="000000"/>
          <w:spacing w:val="8"/>
          <w:sz w:val="32"/>
          <w:szCs w:val="32"/>
          <w:u w:val="none"/>
          <w:lang w:val="en-US" w:eastAsia="zh-CN"/>
        </w:rPr>
        <w:t>一是加强政府采购业务培训学习。组织政府采购相关工作人员，认真学习《中华人民共和国政府采购法》《广东省政府集中采购目录及标准（2020年版）》等政府采购相关法律和制度文件，积极参加相关培训。2025年以来，参加市财政局举办的政府采购业务培训2次、广东省政府采购智慧云平台线上培训2次。二是完善内部控制管理制度。根据财政部、省财政厅有关文件要求，修订政府采购内部控制制度，对单位政府采购的各个环节进一步细化完善，确保每一步都有明确的规范和标准。三是提升内部管理风险防控水平。2025年5月，根据人员变动情况及时调整内部控制领导小组，进一步明确领导小组成员和职责，提升内部控制</w:t>
      </w:r>
      <w:bookmarkStart w:id="1" w:name="hmcheck_165232401e764d8e9c5fc2962f30b1db"/>
      <w:r>
        <w:rPr>
          <w:rFonts w:hint="eastAsia" w:ascii="仿宋_GB2312" w:hAnsi="仿宋_GB2312" w:eastAsia="仿宋_GB2312" w:cs="仿宋_GB2312"/>
          <w:b w:val="0"/>
          <w:bCs/>
          <w:color w:val="000000"/>
          <w:spacing w:val="8"/>
          <w:sz w:val="32"/>
          <w:szCs w:val="32"/>
          <w:u w:val="none"/>
          <w:shd w:val="clear" w:color="auto" w:fill="FFFFFF"/>
          <w:lang w:val="en-US" w:eastAsia="zh-CN"/>
        </w:rPr>
        <w:t>质</w:t>
      </w:r>
      <w:bookmarkEnd w:id="1"/>
      <w:r>
        <w:rPr>
          <w:rFonts w:hint="eastAsia" w:ascii="仿宋_GB2312" w:hAnsi="仿宋_GB2312" w:eastAsia="仿宋_GB2312" w:cs="仿宋_GB2312"/>
          <w:b w:val="0"/>
          <w:bCs/>
          <w:color w:val="000000"/>
          <w:spacing w:val="8"/>
          <w:sz w:val="32"/>
          <w:szCs w:val="32"/>
          <w:u w:val="none"/>
          <w:lang w:val="en-US" w:eastAsia="zh-CN"/>
        </w:rPr>
        <w:t>效。2025年4月开展了内部审计，根据审计单位出具的审计报告进行查漏补缺、整改落实，有效强化内部风险防控，提升内部管理水平。</w:t>
      </w:r>
    </w:p>
    <w:p w14:paraId="326B8770">
      <w:pPr>
        <w:keepNext w:val="0"/>
        <w:keepLines w:val="0"/>
        <w:pageBreakBefore w:val="0"/>
        <w:kinsoku/>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bCs/>
          <w:snapToGrid w:val="0"/>
          <w:color w:val="000000"/>
          <w:kern w:val="0"/>
          <w:sz w:val="32"/>
          <w:u w:val="none"/>
          <w:lang w:val="en-US" w:eastAsia="zh-CN"/>
        </w:rPr>
      </w:pPr>
      <w:r>
        <w:rPr>
          <w:rFonts w:hint="eastAsia" w:ascii="楷体_GB2312" w:hAnsi="楷体_GB2312" w:eastAsia="楷体_GB2312" w:cs="楷体_GB2312"/>
          <w:b w:val="0"/>
          <w:bCs w:val="0"/>
          <w:snapToGrid w:val="0"/>
          <w:color w:val="000000"/>
          <w:kern w:val="0"/>
          <w:sz w:val="32"/>
          <w:u w:val="none"/>
          <w:lang w:val="en-US" w:eastAsia="zh-CN"/>
        </w:rPr>
        <w:t>（三）关于党组织和党员队伍建设方面</w:t>
      </w:r>
    </w:p>
    <w:p w14:paraId="0F6F616F">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b w:val="0"/>
          <w:bCs/>
          <w:color w:val="000000"/>
          <w:spacing w:val="8"/>
          <w:sz w:val="32"/>
          <w:szCs w:val="32"/>
          <w:u w:val="none"/>
          <w:lang w:val="en-US" w:eastAsia="zh-CN"/>
        </w:rPr>
      </w:pPr>
      <w:r>
        <w:rPr>
          <w:rFonts w:hint="eastAsia" w:ascii="仿宋_GB2312" w:hAnsi="仿宋_GB2312" w:eastAsia="仿宋_GB2312" w:cs="仿宋_GB2312"/>
          <w:b/>
          <w:bCs/>
          <w:snapToGrid w:val="0"/>
          <w:color w:val="000000"/>
          <w:kern w:val="0"/>
          <w:sz w:val="32"/>
          <w:u w:val="none"/>
          <w:lang w:val="en-US" w:eastAsia="zh-CN"/>
        </w:rPr>
        <w:t>6.进一步规范干部考察程序。</w:t>
      </w:r>
      <w:r>
        <w:rPr>
          <w:rFonts w:hint="eastAsia" w:ascii="仿宋_GB2312" w:hAnsi="仿宋_GB2312" w:eastAsia="仿宋_GB2312" w:cs="仿宋_GB2312"/>
          <w:b w:val="0"/>
          <w:bCs/>
          <w:color w:val="000000"/>
          <w:spacing w:val="8"/>
          <w:sz w:val="32"/>
          <w:szCs w:val="32"/>
          <w:u w:val="none"/>
          <w:lang w:val="en-US" w:eastAsia="zh-CN"/>
        </w:rPr>
        <w:t>组织办公室及下属事业单位人事干部学习《党政领导干部选拔任用工作条例》及有关政策，进一步加强人事干部业务能力，严格落实干部考察工作，考准考实干部能力素质。同时，修订单位内部的《干部考察工作指引》，形成长效机制，</w:t>
      </w:r>
      <w:bookmarkStart w:id="2" w:name="hmcheck_eb595f3c326c4fa9a707220d453ea62e"/>
      <w:r>
        <w:rPr>
          <w:rFonts w:hint="eastAsia" w:ascii="仿宋_GB2312" w:hAnsi="仿宋_GB2312" w:eastAsia="仿宋_GB2312" w:cs="仿宋_GB2312"/>
          <w:b w:val="0"/>
          <w:bCs/>
          <w:color w:val="000000"/>
          <w:spacing w:val="8"/>
          <w:sz w:val="32"/>
          <w:szCs w:val="32"/>
          <w:u w:val="none"/>
          <w:shd w:val="clear" w:color="auto" w:fill="FFFFFF"/>
          <w:lang w:val="en-US" w:eastAsia="zh-CN"/>
        </w:rPr>
        <w:t>供</w:t>
      </w:r>
      <w:bookmarkEnd w:id="2"/>
      <w:r>
        <w:rPr>
          <w:rFonts w:hint="eastAsia" w:ascii="仿宋_GB2312" w:hAnsi="仿宋_GB2312" w:eastAsia="仿宋_GB2312" w:cs="仿宋_GB2312"/>
          <w:b w:val="0"/>
          <w:bCs/>
          <w:color w:val="000000"/>
          <w:spacing w:val="8"/>
          <w:sz w:val="32"/>
          <w:szCs w:val="32"/>
          <w:u w:val="none"/>
          <w:lang w:val="en-US" w:eastAsia="zh-CN"/>
        </w:rPr>
        <w:t>每次参与考察的考察组成员学习参考，并严格贯彻执行。</w:t>
      </w:r>
    </w:p>
    <w:p w14:paraId="418CC825">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val="0"/>
          <w:bCs/>
          <w:color w:val="000000"/>
          <w:spacing w:val="8"/>
          <w:sz w:val="32"/>
          <w:szCs w:val="32"/>
          <w:u w:val="none"/>
          <w:lang w:val="en" w:eastAsia="zh-CN"/>
        </w:rPr>
      </w:pPr>
      <w:r>
        <w:rPr>
          <w:rFonts w:hint="eastAsia" w:ascii="仿宋_GB2312" w:hAnsi="仿宋_GB2312" w:eastAsia="仿宋_GB2312" w:cs="仿宋_GB2312"/>
          <w:b/>
          <w:bCs/>
          <w:sz w:val="32"/>
          <w:szCs w:val="32"/>
          <w:lang w:val="en-US" w:eastAsia="zh-CN"/>
        </w:rPr>
        <w:t>7.加强因私出国（境）管理。</w:t>
      </w:r>
      <w:r>
        <w:rPr>
          <w:rFonts w:hint="eastAsia" w:ascii="仿宋_GB2312" w:hAnsi="仿宋_GB2312" w:eastAsia="仿宋_GB2312" w:cs="仿宋_GB2312"/>
          <w:b w:val="0"/>
          <w:bCs/>
          <w:color w:val="000000"/>
          <w:spacing w:val="8"/>
          <w:sz w:val="32"/>
          <w:szCs w:val="32"/>
          <w:u w:val="none"/>
          <w:lang w:val="en" w:eastAsia="zh-CN"/>
        </w:rPr>
        <w:t>一是加强纪律教育学习。通过</w:t>
      </w:r>
      <w:r>
        <w:rPr>
          <w:rFonts w:hint="eastAsia" w:ascii="仿宋_GB2312" w:hAnsi="仿宋_GB2312" w:eastAsia="仿宋_GB2312" w:cs="仿宋_GB2312"/>
          <w:b w:val="0"/>
          <w:bCs/>
          <w:color w:val="000000"/>
          <w:spacing w:val="8"/>
          <w:sz w:val="32"/>
          <w:szCs w:val="32"/>
          <w:u w:val="none"/>
          <w:lang w:val="en-US" w:eastAsia="zh-CN"/>
        </w:rPr>
        <w:t>邀请有关专家讲授“全民国家安全教育，筑牢意识形态防线”专题讲座，组织学习《中国共产党纪律处分条例》《关于加强国家工作人员因私事出国（境）管理的暂行规定》等有关规定的方式，提升干部职工因私出国（境）风险防范意识和纪律规矩意识。二是规范审批流程。2025年9月，印发因私事出国（境）管理办法，对登记备案、审批程序、证件管理、纪律规定等方面作出详细的规定，强化因私事出国（境）的内部管理、审批、备案等工作。三是严格落实行前教育和归回报告。明确政治纪律、外事纪律和安全保密有关要求，实行“回国即报告、返岗</w:t>
      </w:r>
      <w:bookmarkStart w:id="3" w:name="hmcheck_2fdc6b4daaa844daa920c657695abb84"/>
      <w:r>
        <w:rPr>
          <w:rFonts w:hint="eastAsia" w:ascii="仿宋_GB2312" w:hAnsi="仿宋_GB2312" w:eastAsia="仿宋_GB2312" w:cs="仿宋_GB2312"/>
          <w:b w:val="0"/>
          <w:bCs/>
          <w:color w:val="000000"/>
          <w:spacing w:val="8"/>
          <w:sz w:val="32"/>
          <w:szCs w:val="32"/>
          <w:u w:val="none"/>
          <w:shd w:val="clear" w:color="auto" w:fill="FFFFFF"/>
          <w:lang w:val="en-US" w:eastAsia="zh-CN"/>
        </w:rPr>
        <w:t>即</w:t>
      </w:r>
      <w:bookmarkEnd w:id="3"/>
      <w:r>
        <w:rPr>
          <w:rFonts w:hint="eastAsia" w:ascii="仿宋_GB2312" w:hAnsi="仿宋_GB2312" w:eastAsia="仿宋_GB2312" w:cs="仿宋_GB2312"/>
          <w:b w:val="0"/>
          <w:bCs/>
          <w:color w:val="000000"/>
          <w:spacing w:val="8"/>
          <w:sz w:val="32"/>
          <w:szCs w:val="32"/>
          <w:u w:val="none"/>
          <w:lang w:val="en-US" w:eastAsia="zh-CN"/>
        </w:rPr>
        <w:t>核销”的闭环管理</w:t>
      </w:r>
      <w:r>
        <w:rPr>
          <w:rFonts w:hint="eastAsia" w:ascii="仿宋_GB2312" w:hAnsi="仿宋_GB2312" w:eastAsia="仿宋_GB2312" w:cs="仿宋_GB2312"/>
          <w:b w:val="0"/>
          <w:bCs/>
          <w:color w:val="000000"/>
          <w:spacing w:val="8"/>
          <w:sz w:val="32"/>
          <w:szCs w:val="32"/>
          <w:u w:val="none"/>
          <w:lang w:val="en" w:eastAsia="zh-CN"/>
        </w:rPr>
        <w:t>。</w:t>
      </w:r>
    </w:p>
    <w:p w14:paraId="4AE934FC">
      <w:pPr>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3" w:firstLineChars="200"/>
        <w:jc w:val="left"/>
        <w:textAlignment w:val="auto"/>
        <w:outlineLvl w:val="9"/>
        <w:rPr>
          <w:rFonts w:hint="eastAsia" w:ascii="仿宋_GB2312" w:hAnsi="仿宋_GB2312" w:eastAsia="仿宋_GB2312" w:cs="仿宋_GB2312"/>
          <w:b w:val="0"/>
          <w:bCs/>
          <w:color w:val="000000"/>
          <w:spacing w:val="8"/>
          <w:sz w:val="32"/>
          <w:szCs w:val="32"/>
          <w:u w:val="none"/>
          <w:lang w:val="en-US" w:eastAsia="zh-CN"/>
        </w:rPr>
      </w:pPr>
      <w:r>
        <w:rPr>
          <w:rFonts w:hint="eastAsia" w:ascii="仿宋_GB2312" w:hAnsi="仿宋_GB2312" w:eastAsia="仿宋_GB2312" w:cs="仿宋_GB2312"/>
          <w:b/>
          <w:bCs/>
          <w:snapToGrid w:val="0"/>
          <w:color w:val="auto"/>
          <w:kern w:val="0"/>
          <w:sz w:val="32"/>
          <w:u w:val="none"/>
          <w:lang w:val="en-US" w:eastAsia="zh-CN"/>
        </w:rPr>
        <w:t>8.加强</w:t>
      </w:r>
      <w:bookmarkStart w:id="4" w:name="hmcheck_61bc433fbccf4163bd46deb5b55a44f0"/>
      <w:r>
        <w:rPr>
          <w:rFonts w:hint="eastAsia" w:ascii="仿宋_GB2312" w:hAnsi="仿宋_GB2312" w:eastAsia="仿宋_GB2312" w:cs="仿宋_GB2312"/>
          <w:b/>
          <w:bCs/>
          <w:snapToGrid w:val="0"/>
          <w:color w:val="auto"/>
          <w:kern w:val="0"/>
          <w:sz w:val="32"/>
          <w:u w:val="none"/>
          <w:shd w:val="clear" w:color="auto" w:fill="FFFFFF"/>
          <w:lang w:val="en-US" w:eastAsia="zh-CN"/>
        </w:rPr>
        <w:t>聘</w:t>
      </w:r>
      <w:bookmarkEnd w:id="4"/>
      <w:r>
        <w:rPr>
          <w:rFonts w:hint="eastAsia" w:ascii="仿宋_GB2312" w:hAnsi="仿宋_GB2312" w:eastAsia="仿宋_GB2312" w:cs="仿宋_GB2312"/>
          <w:b/>
          <w:bCs/>
          <w:snapToGrid w:val="0"/>
          <w:color w:val="auto"/>
          <w:kern w:val="0"/>
          <w:sz w:val="32"/>
          <w:u w:val="none"/>
          <w:lang w:val="en-US" w:eastAsia="zh-CN"/>
        </w:rPr>
        <w:t>员管理使用工作。</w:t>
      </w:r>
      <w:r>
        <w:rPr>
          <w:rFonts w:hint="eastAsia" w:ascii="仿宋_GB2312" w:hAnsi="仿宋_GB2312" w:eastAsia="仿宋_GB2312" w:cs="仿宋_GB2312"/>
          <w:b w:val="0"/>
          <w:bCs/>
          <w:color w:val="000000"/>
          <w:spacing w:val="8"/>
          <w:sz w:val="32"/>
          <w:szCs w:val="32"/>
          <w:u w:val="none"/>
          <w:lang w:val="en-US" w:eastAsia="zh-CN"/>
        </w:rPr>
        <w:t>严格执行我市</w:t>
      </w:r>
      <w:bookmarkStart w:id="5" w:name="hmcheck_a0bc897ebe0740799774186d6c9f4274"/>
      <w:r>
        <w:rPr>
          <w:rFonts w:hint="eastAsia" w:ascii="仿宋_GB2312" w:hAnsi="仿宋_GB2312" w:eastAsia="仿宋_GB2312" w:cs="仿宋_GB2312"/>
          <w:b w:val="0"/>
          <w:bCs/>
          <w:color w:val="000000"/>
          <w:spacing w:val="8"/>
          <w:sz w:val="32"/>
          <w:szCs w:val="32"/>
          <w:u w:val="none"/>
          <w:shd w:val="clear" w:color="auto" w:fill="FFFFFF"/>
          <w:lang w:val="en-US" w:eastAsia="zh-CN"/>
        </w:rPr>
        <w:t>聘</w:t>
      </w:r>
      <w:bookmarkEnd w:id="5"/>
      <w:r>
        <w:rPr>
          <w:rFonts w:hint="eastAsia" w:ascii="仿宋_GB2312" w:hAnsi="仿宋_GB2312" w:eastAsia="仿宋_GB2312" w:cs="仿宋_GB2312"/>
          <w:b w:val="0"/>
          <w:bCs/>
          <w:color w:val="000000"/>
          <w:spacing w:val="8"/>
          <w:sz w:val="32"/>
          <w:szCs w:val="32"/>
          <w:u w:val="none"/>
          <w:lang w:val="en-US" w:eastAsia="zh-CN"/>
        </w:rPr>
        <w:t>员招聘、使用及考核管理办法，严格遵循“从严控制、严格审批、分类施策、规范管理”的原则，规范对编外人员的招聘、使用及管理工作。</w:t>
      </w:r>
    </w:p>
    <w:p w14:paraId="22CA1236">
      <w:pPr>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3" w:firstLineChars="200"/>
        <w:jc w:val="left"/>
        <w:textAlignment w:val="auto"/>
        <w:outlineLvl w:val="9"/>
        <w:rPr>
          <w:rFonts w:hint="eastAsia" w:ascii="仿宋_GB2312" w:hAnsi="仿宋_GB2312" w:eastAsia="仿宋_GB2312" w:cs="仿宋_GB2312"/>
          <w:b w:val="0"/>
          <w:bCs w:val="0"/>
          <w:snapToGrid w:val="0"/>
          <w:color w:val="000000"/>
          <w:kern w:val="0"/>
          <w:sz w:val="32"/>
          <w:u w:val="none"/>
          <w:lang w:val="en-US" w:eastAsia="zh-CN"/>
        </w:rPr>
      </w:pPr>
      <w:r>
        <w:rPr>
          <w:rFonts w:hint="eastAsia" w:ascii="仿宋_GB2312" w:hAnsi="仿宋_GB2312" w:eastAsia="仿宋_GB2312" w:cs="仿宋_GB2312"/>
          <w:b/>
          <w:bCs/>
          <w:snapToGrid w:val="0"/>
          <w:color w:val="000000"/>
          <w:kern w:val="0"/>
          <w:sz w:val="32"/>
          <w:u w:val="none"/>
          <w:lang w:val="en-US" w:eastAsia="zh-CN"/>
        </w:rPr>
        <w:t>9.加强对下属事业单位执行民主决策制度的指导。</w:t>
      </w:r>
      <w:r>
        <w:rPr>
          <w:rFonts w:hint="eastAsia" w:ascii="仿宋_GB2312" w:hAnsi="仿宋_GB2312" w:eastAsia="仿宋_GB2312" w:cs="仿宋_GB2312"/>
          <w:b w:val="0"/>
          <w:bCs w:val="0"/>
          <w:snapToGrid w:val="0"/>
          <w:color w:val="000000"/>
          <w:kern w:val="0"/>
          <w:sz w:val="32"/>
          <w:u w:val="none"/>
          <w:lang w:val="en-US" w:eastAsia="zh-CN"/>
        </w:rPr>
        <w:t>指导市政府发展研究中心和市金融服务中心分别建立健全行政班子议事机制，完善各自班子的“三重一大”决策事项清单。</w:t>
      </w:r>
      <w:r>
        <w:rPr>
          <w:rFonts w:hint="eastAsia" w:ascii="仿宋_GB2312" w:hAnsi="仿宋_GB2312" w:eastAsia="仿宋_GB2312" w:cs="仿宋_GB2312"/>
          <w:b w:val="0"/>
          <w:bCs w:val="0"/>
          <w:snapToGrid w:val="0"/>
          <w:color w:val="000000"/>
          <w:w w:val="102"/>
          <w:kern w:val="0"/>
          <w:sz w:val="32"/>
          <w:u w:val="none"/>
          <w:lang w:val="en-US" w:eastAsia="zh-CN"/>
        </w:rPr>
        <w:t>做好市政府机关党组会议议题材料审核，对两中心提请市政府机关党组会议审议的议题，认真检查其是否已召开班子会议进行集体研究、会议纪要是否齐全，未召开班子会议研究、无会议纪要的不予上会。</w:t>
      </w:r>
    </w:p>
    <w:p w14:paraId="150FB553">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黑体" w:hAnsi="黑体" w:eastAsia="黑体" w:cs="黑体"/>
          <w:b w:val="0"/>
          <w:bCs w:val="0"/>
          <w:snapToGrid w:val="0"/>
          <w:color w:val="000000"/>
          <w:kern w:val="0"/>
          <w:sz w:val="32"/>
          <w:u w:val="none"/>
          <w:lang w:val="en-US" w:eastAsia="zh-CN"/>
        </w:rPr>
      </w:pPr>
      <w:r>
        <w:rPr>
          <w:rFonts w:hint="eastAsia" w:ascii="黑体" w:hAnsi="黑体" w:eastAsia="黑体" w:cs="黑体"/>
          <w:b w:val="0"/>
          <w:bCs w:val="0"/>
          <w:snapToGrid w:val="0"/>
          <w:color w:val="000000"/>
          <w:kern w:val="0"/>
          <w:sz w:val="32"/>
          <w:u w:val="none"/>
          <w:lang w:val="en-US" w:eastAsia="zh-CN"/>
        </w:rPr>
        <w:t>三、下一步打算</w:t>
      </w:r>
    </w:p>
    <w:p w14:paraId="78B16F7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5"/>
        <w:textAlignment w:val="auto"/>
        <w:rPr>
          <w:rFonts w:hint="eastAsia" w:ascii="仿宋_GB2312" w:hAnsi="Helvetica" w:eastAsia="仿宋_GB2312" w:cs="仿宋_GB2312"/>
          <w:sz w:val="32"/>
          <w:szCs w:val="32"/>
          <w:lang w:eastAsia="zh-CN"/>
        </w:rPr>
      </w:pPr>
      <w:r>
        <w:rPr>
          <w:rFonts w:hint="eastAsia" w:ascii="楷体_GB2312" w:hAnsi="楷体_GB2312" w:eastAsia="楷体_GB2312" w:cs="楷体_GB2312"/>
          <w:sz w:val="32"/>
          <w:szCs w:val="32"/>
          <w:lang w:eastAsia="zh-CN"/>
        </w:rPr>
        <w:t>（一）持续强化政治建设，坚决做到“两个维护”</w:t>
      </w:r>
      <w:r>
        <w:rPr>
          <w:rFonts w:hint="eastAsia" w:ascii="仿宋_GB2312" w:hAnsi="Helvetica" w:eastAsia="仿宋_GB2312" w:cs="仿宋_GB2312"/>
          <w:sz w:val="32"/>
          <w:szCs w:val="32"/>
          <w:lang w:eastAsia="zh-CN"/>
        </w:rPr>
        <w:t>。坚持把党的政治建设摆在首位，持续深入学习贯彻习近平新时代中国特色社会主义思想，不断提高政治判断力、政治领悟力、政治执行力。始终在思想上政治上行动上同以习近平同志为核心的党中央保持高度一致，确保党中央决策部署和省委、市委工作要求在市政府办公室不折不扣落到实处。</w:t>
      </w:r>
    </w:p>
    <w:p w14:paraId="6BF33F6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5"/>
        <w:textAlignment w:val="auto"/>
        <w:rPr>
          <w:rFonts w:hint="eastAsia" w:ascii="仿宋_GB2312" w:hAnsi="Helvetica" w:eastAsia="仿宋_GB2312" w:cs="仿宋_GB2312"/>
          <w:sz w:val="32"/>
          <w:szCs w:val="32"/>
          <w:lang w:eastAsia="zh-CN"/>
        </w:rPr>
      </w:pPr>
      <w:r>
        <w:rPr>
          <w:rFonts w:hint="eastAsia" w:ascii="楷体_GB2312" w:hAnsi="楷体_GB2312" w:eastAsia="楷体_GB2312" w:cs="楷体_GB2312"/>
          <w:sz w:val="32"/>
          <w:szCs w:val="32"/>
          <w:lang w:eastAsia="zh-CN"/>
        </w:rPr>
        <w:t>（二）持续压实主体责任，纵深推进全面从严治党</w:t>
      </w:r>
      <w:r>
        <w:rPr>
          <w:rFonts w:hint="eastAsia" w:ascii="仿宋_GB2312" w:hAnsi="Helvetica" w:eastAsia="仿宋_GB2312" w:cs="仿宋_GB2312"/>
          <w:sz w:val="32"/>
          <w:szCs w:val="32"/>
          <w:lang w:eastAsia="zh-CN"/>
        </w:rPr>
        <w:t>。坚决扛起全面从严治党主体责任，坚持严的基调不动摇，一体推进不敢腐、不能腐、不想腐。持之以恒正风肃纪，严格落实中央八项规定及其实施细则精神，持续深化纠治“四风”。大力整治形式主义、官僚主义，从严控制文件会议数量，进一步规范督查检查事项，切实为基层减负，推进</w:t>
      </w:r>
      <w:r>
        <w:rPr>
          <w:rFonts w:hint="eastAsia" w:ascii="仿宋_GB2312" w:hAnsi="Helvetica" w:eastAsia="仿宋_GB2312" w:cs="仿宋_GB2312"/>
          <w:sz w:val="32"/>
          <w:szCs w:val="32"/>
          <w:shd w:val="clear" w:color="auto" w:fill="FFFFFF"/>
          <w:lang w:eastAsia="zh-CN"/>
        </w:rPr>
        <w:t>全面从严治党</w:t>
      </w:r>
      <w:r>
        <w:rPr>
          <w:rFonts w:hint="eastAsia" w:ascii="仿宋_GB2312" w:hAnsi="Helvetica" w:eastAsia="仿宋_GB2312" w:cs="仿宋_GB2312"/>
          <w:sz w:val="32"/>
          <w:szCs w:val="32"/>
          <w:lang w:eastAsia="zh-CN"/>
        </w:rPr>
        <w:t>向纵深发展，营造风清气正的政治生态。</w:t>
      </w:r>
    </w:p>
    <w:p w14:paraId="7223609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5"/>
        <w:textAlignment w:val="auto"/>
        <w:rPr>
          <w:rFonts w:hint="eastAsia" w:ascii="仿宋_GB2312" w:hAnsi="Helvetica" w:eastAsia="仿宋_GB2312" w:cs="仿宋_GB2312"/>
          <w:sz w:val="32"/>
          <w:szCs w:val="32"/>
          <w:lang w:eastAsia="zh-CN"/>
        </w:rPr>
      </w:pPr>
      <w:r>
        <w:rPr>
          <w:rFonts w:hint="eastAsia" w:ascii="楷体_GB2312" w:hAnsi="楷体_GB2312" w:eastAsia="楷体_GB2312" w:cs="楷体_GB2312"/>
          <w:sz w:val="32"/>
          <w:szCs w:val="32"/>
          <w:lang w:eastAsia="zh-CN"/>
        </w:rPr>
        <w:t>（三）持续巩固整改成效，推动各项工作提质增效</w:t>
      </w:r>
      <w:r>
        <w:rPr>
          <w:rFonts w:hint="eastAsia" w:ascii="仿宋_GB2312" w:hAnsi="Helvetica" w:eastAsia="仿宋_GB2312" w:cs="仿宋_GB2312"/>
          <w:sz w:val="32"/>
          <w:szCs w:val="32"/>
          <w:lang w:eastAsia="zh-CN"/>
        </w:rPr>
        <w:t>。持续跟踪问效，防止问题反弹回潮。认真总结整改工作中的有效做法和经验，及时转化为制度规范，不断健全完善办公室规章制度体系。强化制度执行监督检查，切实增强制度的约束力和执行力，不断提高市政府办公室工作的规范化、制度化、科学化水平，以整改成效推动“三服务”工作提质增效，更好地服务保障全市高质量发展大局。</w:t>
      </w:r>
    </w:p>
    <w:p w14:paraId="51F75D7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firstLine="645"/>
        <w:textAlignment w:val="auto"/>
        <w:rPr>
          <w:rFonts w:hint="default" w:ascii="Helvetica" w:hAnsi="Helvetica" w:eastAsia="Helvetica" w:cs="Helvetica"/>
          <w:sz w:val="32"/>
          <w:szCs w:val="32"/>
        </w:rPr>
      </w:pPr>
      <w:r>
        <w:rPr>
          <w:rFonts w:hint="eastAsia" w:ascii="仿宋_GB2312" w:hAnsi="Helvetica" w:eastAsia="仿宋_GB2312" w:cs="仿宋_GB2312"/>
          <w:sz w:val="32"/>
          <w:szCs w:val="32"/>
        </w:rPr>
        <w:t>欢迎广大干部群众对巡察整改落实情况进行监督。如有意见建议，请及时向我们反映。</w:t>
      </w:r>
      <w:r>
        <w:rPr>
          <w:rFonts w:hint="eastAsia" w:ascii="仿宋_GB2312" w:hAnsi="Helvetica" w:eastAsia="仿宋_GB2312" w:cs="仿宋_GB2312"/>
          <w:sz w:val="32"/>
          <w:szCs w:val="32"/>
          <w:lang w:eastAsia="zh-CN"/>
        </w:rPr>
        <w:t>公开期限：</w:t>
      </w:r>
      <w:r>
        <w:rPr>
          <w:rFonts w:hint="eastAsia" w:ascii="仿宋_GB2312" w:hAnsi="Helvetica" w:eastAsia="仿宋_GB2312" w:cs="仿宋_GB2312"/>
          <w:sz w:val="32"/>
          <w:szCs w:val="32"/>
          <w:lang w:val="en-US" w:eastAsia="zh-CN"/>
        </w:rPr>
        <w:t>2026年1月21日至2026年2月28日。</w:t>
      </w:r>
      <w:r>
        <w:rPr>
          <w:rFonts w:hint="eastAsia" w:ascii="仿宋_GB2312" w:hAnsi="Helvetica" w:eastAsia="仿宋_GB2312" w:cs="仿宋_GB2312"/>
          <w:sz w:val="32"/>
          <w:szCs w:val="32"/>
        </w:rPr>
        <w:t>联系方式：电话0763—</w:t>
      </w:r>
      <w:r>
        <w:rPr>
          <w:rFonts w:hint="eastAsia" w:ascii="仿宋_GB2312" w:hAnsi="Helvetica" w:eastAsia="仿宋_GB2312" w:cs="仿宋_GB2312"/>
          <w:sz w:val="32"/>
          <w:szCs w:val="32"/>
          <w:lang w:val="en-US" w:eastAsia="zh-CN"/>
        </w:rPr>
        <w:t>3369020</w:t>
      </w:r>
      <w:r>
        <w:rPr>
          <w:rFonts w:hint="eastAsia" w:ascii="仿宋_GB2312" w:hAnsi="Helvetica" w:eastAsia="仿宋_GB2312" w:cs="仿宋_GB2312"/>
          <w:sz w:val="32"/>
          <w:szCs w:val="32"/>
        </w:rPr>
        <w:t>；邮政地址：清远市清城区人民二路18号市机关办公大楼１号楼100</w:t>
      </w:r>
      <w:r>
        <w:rPr>
          <w:rFonts w:hint="eastAsia" w:ascii="仿宋_GB2312" w:hAnsi="Helvetica" w:eastAsia="仿宋_GB2312" w:cs="仿宋_GB2312"/>
          <w:sz w:val="32"/>
          <w:szCs w:val="32"/>
          <w:lang w:val="en-US" w:eastAsia="zh-CN"/>
        </w:rPr>
        <w:t>2A</w:t>
      </w:r>
      <w:r>
        <w:rPr>
          <w:rFonts w:hint="eastAsia" w:ascii="仿宋_GB2312" w:hAnsi="Helvetica" w:eastAsia="仿宋_GB2312" w:cs="仿宋_GB2312"/>
          <w:sz w:val="32"/>
          <w:szCs w:val="32"/>
        </w:rPr>
        <w:t>室；电子邮箱：</w:t>
      </w:r>
      <w:r>
        <w:rPr>
          <w:rFonts w:hint="eastAsia" w:ascii="仿宋_GB2312" w:hAnsi="Helvetica" w:eastAsia="仿宋_GB2312" w:cs="仿宋_GB2312"/>
          <w:sz w:val="32"/>
          <w:szCs w:val="32"/>
          <w:lang w:val="en-US" w:eastAsia="zh-CN"/>
        </w:rPr>
        <w:t>qysfb_jgdw</w:t>
      </w:r>
      <w:r>
        <w:rPr>
          <w:rFonts w:hint="eastAsia" w:ascii="宋体" w:hAnsi="宋体" w:eastAsia="宋体" w:cs="宋体"/>
          <w:sz w:val="32"/>
          <w:szCs w:val="32"/>
          <w:lang w:val="en-US" w:eastAsia="zh-CN"/>
        </w:rPr>
        <w:t>@</w:t>
      </w:r>
      <w:r>
        <w:rPr>
          <w:rFonts w:hint="eastAsia" w:ascii="仿宋_GB2312" w:hAnsi="Helvetica" w:eastAsia="仿宋_GB2312" w:cs="仿宋_GB2312"/>
          <w:sz w:val="32"/>
          <w:szCs w:val="32"/>
          <w:lang w:val="en-US" w:eastAsia="zh-CN"/>
        </w:rPr>
        <w:t>gdqy.gov.cn</w:t>
      </w:r>
      <w:r>
        <w:rPr>
          <w:rFonts w:hint="eastAsia" w:ascii="仿宋_GB2312" w:hAnsi="Helvetica" w:eastAsia="仿宋_GB2312" w:cs="仿宋_GB2312"/>
          <w:sz w:val="32"/>
          <w:szCs w:val="32"/>
        </w:rPr>
        <w:t>。</w:t>
      </w:r>
    </w:p>
    <w:p w14:paraId="02F771B9">
      <w:pPr>
        <w:keepNext w:val="0"/>
        <w:keepLines w:val="0"/>
        <w:pageBreakBefore w:val="0"/>
        <w:kinsoku/>
        <w:overflowPunct/>
        <w:topLinePunct w:val="0"/>
        <w:autoSpaceDE/>
        <w:autoSpaceDN/>
        <w:bidi w:val="0"/>
        <w:adjustRightInd/>
        <w:snapToGrid/>
        <w:spacing w:line="580" w:lineRule="exact"/>
        <w:ind w:left="0" w:leftChars="0"/>
        <w:textAlignment w:val="auto"/>
        <w:rPr>
          <w:rFonts w:hint="default"/>
          <w:lang w:val="en-US" w:eastAsia="zh-CN"/>
        </w:rPr>
      </w:pPr>
    </w:p>
    <w:p w14:paraId="02094CDA">
      <w:pPr>
        <w:keepNext w:val="0"/>
        <w:keepLines w:val="0"/>
        <w:pageBreakBefore w:val="0"/>
        <w:kinsoku/>
        <w:overflowPunct/>
        <w:topLinePunct w:val="0"/>
        <w:autoSpaceDE/>
        <w:autoSpaceDN/>
        <w:bidi w:val="0"/>
        <w:adjustRightInd/>
        <w:snapToGrid/>
        <w:spacing w:line="580" w:lineRule="exact"/>
        <w:ind w:left="0" w:leftChars="0"/>
        <w:textAlignment w:val="auto"/>
        <w:rPr>
          <w:rFonts w:hint="eastAsia"/>
          <w:lang w:val="en-US" w:eastAsia="zh-CN"/>
        </w:rPr>
      </w:pPr>
    </w:p>
    <w:p w14:paraId="411829F8">
      <w:pPr>
        <w:keepNext w:val="0"/>
        <w:keepLines w:val="0"/>
        <w:pageBreakBefore w:val="0"/>
        <w:kinsoku/>
        <w:overflowPunct/>
        <w:topLinePunct w:val="0"/>
        <w:autoSpaceDE/>
        <w:autoSpaceDN/>
        <w:bidi w:val="0"/>
        <w:adjustRightInd/>
        <w:snapToGrid/>
        <w:spacing w:line="580" w:lineRule="exact"/>
        <w:ind w:left="0" w:leftChars="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中共清远市人民政府机关党组</w:t>
      </w:r>
    </w:p>
    <w:p w14:paraId="61D5D036">
      <w:pPr>
        <w:pStyle w:val="2"/>
        <w:keepNext w:val="0"/>
        <w:keepLines w:val="0"/>
        <w:pageBreakBefore w:val="0"/>
        <w:kinsoku/>
        <w:wordWrap w:val="0"/>
        <w:overflowPunct/>
        <w:topLinePunct w:val="0"/>
        <w:autoSpaceDE/>
        <w:autoSpaceDN/>
        <w:bidi w:val="0"/>
        <w:adjustRightInd/>
        <w:snapToGrid/>
        <w:spacing w:line="580" w:lineRule="exact"/>
        <w:ind w:left="0" w:leftChars="0"/>
        <w:jc w:val="right"/>
        <w:textAlignment w:val="auto"/>
        <w:rPr>
          <w:rFonts w:hint="default"/>
          <w:lang w:val="en-US" w:eastAsia="zh-CN"/>
        </w:rPr>
      </w:pPr>
      <w:r>
        <w:rPr>
          <w:rFonts w:hint="eastAsia" w:ascii="仿宋_GB2312" w:hAnsi="仿宋_GB2312" w:eastAsia="仿宋_GB2312" w:cs="仿宋_GB2312"/>
          <w:sz w:val="32"/>
          <w:szCs w:val="32"/>
          <w:lang w:val="en-US" w:eastAsia="zh-CN"/>
        </w:rPr>
        <w:t xml:space="preserve">2026年1月21日    </w:t>
      </w:r>
    </w:p>
    <w:p w14:paraId="31F8E0EC">
      <w:bookmarkStart w:id="6" w:name="_GoBack"/>
      <w:bookmarkEnd w:id="6"/>
    </w:p>
    <w:sectPr>
      <w:footerReference r:id="rId3" w:type="default"/>
      <w:pgSz w:w="11906" w:h="16838"/>
      <w:pgMar w:top="2154" w:right="1531" w:bottom="187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1BD9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2990B4">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F2990B4">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228A6"/>
    <w:rsid w:val="52A22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widowControl w:val="0"/>
      <w:ind w:left="420" w:leftChars="200"/>
      <w:jc w:val="both"/>
    </w:pPr>
    <w:rPr>
      <w:rFonts w:ascii="Calibri" w:hAnsi="Calibri" w:eastAsia="宋体" w:cs="Times New Roman"/>
      <w:kern w:val="2"/>
      <w:sz w:val="21"/>
      <w:lang w:val="en-US" w:eastAsia="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2026-04-21T01:59:00Z</dcterms:created>
  <dc:creator>ൠEireneྉൠ</dc:creator>
  <cp:lastModifiedBy>ൠEireneྉൠ</cp:lastModifiedBy>
  <dcterms:modified xsi:type="dcterms:W3CDTF">2026-04-21T01:59:51Z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8D0F715EC1274B8F998FA551950F8E0D_11</vt:lpwstr>
  </property>
  <property fmtid="{D5CDD505-2E9C-101B-9397-08002B2CF9AE}" pid="4" name="KSOTemplateDocerSaveRecord">
    <vt:lpwstr>eyJoZGlkIjoiMzVjMDQzMjI4ZDVkMGE1Y2RmZGIyMDRhYmQxODk4MWEiLCJ1c2VySWQiOiI2Mjc1MDg3MTUifQ==</vt:lpwstr>
  </property>
</Properties>
</file>