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4E3FE1">
      <w:pPr>
        <w:keepNext w:val="0"/>
        <w:keepLines w:val="0"/>
        <w:pageBreakBefore w:val="0"/>
        <w:widowControl w:val="0"/>
        <w:kinsoku/>
        <w:wordWrap/>
        <w:overflowPunct/>
        <w:topLinePunct w:val="0"/>
        <w:autoSpaceDE/>
        <w:autoSpaceDN/>
        <w:bidi w:val="0"/>
        <w:adjustRightInd/>
        <w:snapToGrid/>
        <w:spacing w:before="0" w:after="0" w:line="580" w:lineRule="exact"/>
        <w:ind w:left="0" w:leftChars="0" w:right="0" w:rightChars="0"/>
        <w:jc w:val="center"/>
        <w:textAlignment w:val="auto"/>
        <w:outlineLvl w:val="2"/>
        <w:rPr>
          <w:rFonts w:hint="eastAsia" w:ascii="方正小标宋_GBK" w:hAnsi="方正小标宋_GBK" w:eastAsia="方正小标宋_GBK" w:cs="方正小标宋_GBK"/>
          <w:b w:val="0"/>
          <w:bCs w:val="0"/>
          <w:sz w:val="44"/>
          <w:szCs w:val="44"/>
          <w:lang w:eastAsia="zh-CN"/>
        </w:rPr>
      </w:pPr>
      <w:bookmarkStart w:id="0" w:name="_Toc31731804"/>
      <w:r>
        <w:rPr>
          <w:rFonts w:hint="eastAsia" w:ascii="方正小标宋_GBK" w:hAnsi="方正小标宋_GBK" w:eastAsia="方正小标宋_GBK" w:cs="方正小标宋_GBK"/>
          <w:b w:val="0"/>
          <w:bCs w:val="0"/>
          <w:sz w:val="44"/>
          <w:szCs w:val="44"/>
          <w:lang w:eastAsia="zh-CN"/>
        </w:rPr>
        <w:t>清远市人民政府驻北京联络处</w:t>
      </w:r>
      <w:r>
        <w:rPr>
          <w:rFonts w:hint="eastAsia" w:ascii="方正小标宋_GBK" w:hAnsi="方正小标宋_GBK" w:eastAsia="方正小标宋_GBK" w:cs="方正小标宋_GBK"/>
          <w:b w:val="0"/>
          <w:bCs w:val="0"/>
          <w:sz w:val="44"/>
          <w:szCs w:val="44"/>
        </w:rPr>
        <w:t>关于</w:t>
      </w:r>
      <w:r>
        <w:rPr>
          <w:rFonts w:hint="eastAsia" w:ascii="方正小标宋_GBK" w:hAnsi="方正小标宋_GBK" w:eastAsia="方正小标宋_GBK" w:cs="方正小标宋_GBK"/>
          <w:b w:val="0"/>
          <w:bCs w:val="0"/>
          <w:sz w:val="44"/>
          <w:szCs w:val="44"/>
          <w:lang w:eastAsia="zh-CN"/>
        </w:rPr>
        <w:t>八届市委</w:t>
      </w:r>
    </w:p>
    <w:p w14:paraId="6E8ABC41">
      <w:pPr>
        <w:keepNext w:val="0"/>
        <w:keepLines w:val="0"/>
        <w:pageBreakBefore w:val="0"/>
        <w:widowControl w:val="0"/>
        <w:kinsoku/>
        <w:wordWrap/>
        <w:overflowPunct/>
        <w:topLinePunct w:val="0"/>
        <w:autoSpaceDE/>
        <w:autoSpaceDN/>
        <w:bidi w:val="0"/>
        <w:adjustRightInd/>
        <w:snapToGrid/>
        <w:spacing w:before="0" w:after="0" w:line="580" w:lineRule="exact"/>
        <w:ind w:left="0" w:leftChars="0" w:right="0" w:rightChars="0"/>
        <w:jc w:val="center"/>
        <w:textAlignment w:val="auto"/>
        <w:outlineLvl w:val="2"/>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lang w:eastAsia="zh-CN"/>
        </w:rPr>
        <w:t>第六轮</w:t>
      </w:r>
      <w:r>
        <w:rPr>
          <w:rFonts w:hint="eastAsia" w:ascii="方正小标宋_GBK" w:hAnsi="方正小标宋_GBK" w:eastAsia="方正小标宋_GBK" w:cs="方正小标宋_GBK"/>
          <w:b w:val="0"/>
          <w:bCs w:val="0"/>
          <w:sz w:val="44"/>
          <w:szCs w:val="44"/>
        </w:rPr>
        <w:t>巡察</w:t>
      </w:r>
      <w:r>
        <w:rPr>
          <w:rFonts w:hint="eastAsia" w:ascii="方正小标宋_GBK" w:hAnsi="方正小标宋_GBK" w:eastAsia="方正小标宋_GBK" w:cs="方正小标宋_GBK"/>
          <w:b w:val="0"/>
          <w:bCs w:val="0"/>
          <w:sz w:val="44"/>
          <w:szCs w:val="44"/>
          <w:lang w:eastAsia="zh-CN"/>
        </w:rPr>
        <w:t>整改进展</w:t>
      </w:r>
      <w:r>
        <w:rPr>
          <w:rFonts w:hint="eastAsia" w:ascii="方正小标宋_GBK" w:hAnsi="方正小标宋_GBK" w:eastAsia="方正小标宋_GBK" w:cs="方正小标宋_GBK"/>
          <w:b w:val="0"/>
          <w:bCs w:val="0"/>
          <w:sz w:val="44"/>
          <w:szCs w:val="44"/>
        </w:rPr>
        <w:t>情况的通报</w:t>
      </w:r>
      <w:bookmarkEnd w:id="0"/>
    </w:p>
    <w:p w14:paraId="3C6F8CBD">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72" w:firstLineChars="200"/>
        <w:jc w:val="both"/>
        <w:textAlignment w:val="auto"/>
        <w:outlineLvl w:val="9"/>
        <w:rPr>
          <w:rFonts w:hint="eastAsia" w:ascii="仿宋_GB2312" w:hAnsi="仿宋_GB2312" w:eastAsia="仿宋_GB2312" w:cs="仿宋_GB2312"/>
          <w:b w:val="0"/>
          <w:bCs w:val="0"/>
          <w:color w:val="000000"/>
          <w:spacing w:val="8"/>
          <w:sz w:val="32"/>
          <w:szCs w:val="32"/>
        </w:rPr>
      </w:pPr>
    </w:p>
    <w:p w14:paraId="16B3EC32">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72" w:firstLineChars="200"/>
        <w:jc w:val="both"/>
        <w:textAlignment w:val="auto"/>
        <w:outlineLvl w:val="9"/>
        <w:rPr>
          <w:rFonts w:hint="eastAsia" w:ascii="仿宋_GB2312" w:hAnsi="仿宋_GB2312" w:eastAsia="仿宋_GB2312" w:cs="仿宋_GB2312"/>
          <w:b w:val="0"/>
          <w:bCs w:val="0"/>
          <w:color w:val="000000"/>
          <w:spacing w:val="8"/>
          <w:sz w:val="32"/>
          <w:szCs w:val="32"/>
        </w:rPr>
      </w:pPr>
      <w:r>
        <w:rPr>
          <w:rFonts w:hint="eastAsia" w:ascii="仿宋_GB2312" w:hAnsi="仿宋_GB2312" w:eastAsia="仿宋_GB2312" w:cs="仿宋_GB2312"/>
          <w:b w:val="0"/>
          <w:bCs w:val="0"/>
          <w:color w:val="000000"/>
          <w:spacing w:val="8"/>
          <w:sz w:val="32"/>
          <w:szCs w:val="32"/>
        </w:rPr>
        <w:t>根据</w:t>
      </w:r>
      <w:r>
        <w:rPr>
          <w:rFonts w:hint="eastAsia" w:ascii="仿宋_GB2312" w:hAnsi="仿宋_GB2312" w:eastAsia="仿宋_GB2312" w:cs="仿宋_GB2312"/>
          <w:b w:val="0"/>
          <w:bCs w:val="0"/>
          <w:color w:val="000000"/>
          <w:spacing w:val="8"/>
          <w:sz w:val="32"/>
          <w:szCs w:val="32"/>
          <w:lang w:eastAsia="zh-CN"/>
        </w:rPr>
        <w:t>市委</w:t>
      </w:r>
      <w:r>
        <w:rPr>
          <w:rFonts w:hint="eastAsia" w:ascii="仿宋_GB2312" w:hAnsi="仿宋_GB2312" w:eastAsia="仿宋_GB2312" w:cs="仿宋_GB2312"/>
          <w:b w:val="0"/>
          <w:bCs w:val="0"/>
          <w:color w:val="000000"/>
          <w:spacing w:val="8"/>
          <w:sz w:val="32"/>
          <w:szCs w:val="32"/>
        </w:rPr>
        <w:t>统一部署，2024年9月18日至12月20日，市委第三巡察组对市驻京联络处进行了巡察。2025年3月24日，市委第三巡察组向市驻京联络处反馈了巡察意见。按照巡察工作有关要求，现将巡察整改进展情况予以公布。</w:t>
      </w:r>
    </w:p>
    <w:p w14:paraId="6F2AB2F1">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72" w:firstLineChars="200"/>
        <w:jc w:val="both"/>
        <w:textAlignment w:val="auto"/>
        <w:outlineLvl w:val="9"/>
        <w:rPr>
          <w:rFonts w:hint="eastAsia" w:ascii="黑体" w:hAnsi="黑体" w:eastAsia="黑体" w:cs="黑体"/>
          <w:b w:val="0"/>
          <w:bCs w:val="0"/>
          <w:color w:val="000000"/>
          <w:spacing w:val="8"/>
          <w:sz w:val="32"/>
          <w:szCs w:val="32"/>
          <w:lang w:eastAsia="zh-CN"/>
        </w:rPr>
      </w:pPr>
      <w:r>
        <w:rPr>
          <w:rFonts w:hint="eastAsia" w:ascii="黑体" w:hAnsi="黑体" w:eastAsia="黑体" w:cs="黑体"/>
          <w:b w:val="0"/>
          <w:bCs w:val="0"/>
          <w:color w:val="000000"/>
          <w:spacing w:val="8"/>
          <w:sz w:val="32"/>
          <w:szCs w:val="32"/>
          <w:lang w:eastAsia="zh-CN"/>
        </w:rPr>
        <w:t>一、市驻京联络处履行巡察整改主体责任情况</w:t>
      </w:r>
    </w:p>
    <w:p w14:paraId="23B65017">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72" w:firstLineChars="200"/>
        <w:jc w:val="both"/>
        <w:textAlignment w:val="auto"/>
        <w:outlineLvl w:val="9"/>
        <w:rPr>
          <w:rFonts w:hint="eastAsia" w:ascii="仿宋_GB2312" w:hAnsi="仿宋_GB2312" w:eastAsia="仿宋_GB2312" w:cs="仿宋_GB2312"/>
          <w:b w:val="0"/>
          <w:bCs w:val="0"/>
          <w:color w:val="000000"/>
          <w:spacing w:val="8"/>
          <w:sz w:val="32"/>
          <w:szCs w:val="32"/>
        </w:rPr>
      </w:pPr>
      <w:r>
        <w:rPr>
          <w:rFonts w:hint="eastAsia" w:ascii="仿宋_GB2312" w:hAnsi="仿宋_GB2312" w:eastAsia="仿宋_GB2312" w:cs="仿宋_GB2312"/>
          <w:b w:val="0"/>
          <w:bCs w:val="0"/>
          <w:color w:val="000000"/>
          <w:spacing w:val="8"/>
          <w:sz w:val="32"/>
          <w:szCs w:val="32"/>
          <w:lang w:eastAsia="zh-CN"/>
        </w:rPr>
        <w:t>市驻京联络处坚持以习近平新时代中国特色社会主义思想为指导，深入学习贯彻习近平总书记关于党的自我革命的重要思想、关于巡视工作的重要论述，认真贯彻落实《中国共产党巡视工作条例》，从坚定拥护“两个确立”、坚决做到“两个维护”的政治高度，坚决扛起巡察整改主体责任，精心谋划、周密部署，不折不扣抓好各项整改任务落实，持续推动巡察整改落地见效，切实把整改成效转化为忠诚履职的实际行动。</w:t>
      </w:r>
    </w:p>
    <w:p w14:paraId="505C083E">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right="0" w:rightChars="0" w:firstLine="672" w:firstLineChars="200"/>
        <w:jc w:val="both"/>
        <w:textAlignment w:val="auto"/>
        <w:outlineLvl w:val="9"/>
        <w:rPr>
          <w:rFonts w:hint="eastAsia" w:ascii="仿宋_GB2312" w:hAnsi="仿宋_GB2312" w:eastAsia="仿宋_GB2312" w:cs="仿宋_GB2312"/>
          <w:b w:val="0"/>
          <w:bCs w:val="0"/>
          <w:color w:val="000000"/>
          <w:spacing w:val="8"/>
          <w:sz w:val="32"/>
          <w:szCs w:val="32"/>
        </w:rPr>
      </w:pPr>
      <w:r>
        <w:rPr>
          <w:rFonts w:hint="eastAsia" w:ascii="楷体_GB2312" w:hAnsi="楷体_GB2312" w:eastAsia="楷体_GB2312" w:cs="楷体_GB2312"/>
          <w:b w:val="0"/>
          <w:bCs w:val="0"/>
          <w:color w:val="000000"/>
          <w:spacing w:val="8"/>
          <w:sz w:val="32"/>
          <w:szCs w:val="32"/>
        </w:rPr>
        <w:t>统一思想认识，提高政治站位。</w:t>
      </w:r>
      <w:r>
        <w:rPr>
          <w:rFonts w:hint="eastAsia" w:ascii="仿宋_GB2312" w:hAnsi="仿宋_GB2312" w:eastAsia="仿宋_GB2312" w:cs="仿宋_GB2312"/>
          <w:b w:val="0"/>
          <w:bCs w:val="0"/>
          <w:color w:val="000000"/>
          <w:spacing w:val="8"/>
          <w:sz w:val="32"/>
          <w:szCs w:val="32"/>
          <w:lang w:eastAsia="zh-CN"/>
        </w:rPr>
        <w:t>市驻京联络处高度重视巡察整改工作，把巡察整改作为锤炼党性、改进作风、推动工作的重要契机，多次召开领导班子（扩大）会议研究部署巡察整改工作，切实增强推进巡察整改的思想自觉、政治自觉和行动自觉。及时</w:t>
      </w:r>
      <w:r>
        <w:rPr>
          <w:rFonts w:hint="eastAsia" w:ascii="仿宋_GB2312" w:hAnsi="仿宋_GB2312" w:eastAsia="仿宋_GB2312" w:cs="仿宋_GB2312"/>
          <w:b w:val="0"/>
          <w:bCs w:val="0"/>
          <w:color w:val="000000"/>
          <w:spacing w:val="8"/>
          <w:sz w:val="32"/>
          <w:szCs w:val="32"/>
        </w:rPr>
        <w:t>召开</w:t>
      </w:r>
      <w:r>
        <w:rPr>
          <w:rFonts w:hint="eastAsia" w:ascii="仿宋_GB2312" w:hAnsi="仿宋_GB2312" w:eastAsia="仿宋_GB2312" w:cs="仿宋_GB2312"/>
          <w:b w:val="0"/>
          <w:bCs w:val="0"/>
          <w:color w:val="000000"/>
          <w:spacing w:val="8"/>
          <w:sz w:val="32"/>
          <w:szCs w:val="32"/>
          <w:lang w:eastAsia="zh-CN"/>
        </w:rPr>
        <w:t>巡察</w:t>
      </w:r>
      <w:r>
        <w:rPr>
          <w:rFonts w:hint="eastAsia" w:ascii="仿宋_GB2312" w:hAnsi="仿宋_GB2312" w:eastAsia="仿宋_GB2312" w:cs="仿宋_GB2312"/>
          <w:b w:val="0"/>
          <w:bCs w:val="0"/>
          <w:color w:val="000000"/>
          <w:spacing w:val="8"/>
          <w:sz w:val="32"/>
          <w:szCs w:val="32"/>
        </w:rPr>
        <w:t>整改专题</w:t>
      </w:r>
      <w:r>
        <w:rPr>
          <w:rFonts w:hint="eastAsia" w:ascii="仿宋_GB2312" w:hAnsi="仿宋_GB2312" w:eastAsia="仿宋_GB2312" w:cs="仿宋_GB2312"/>
          <w:b w:val="0"/>
          <w:bCs w:val="0"/>
          <w:color w:val="000000"/>
          <w:spacing w:val="8"/>
          <w:sz w:val="32"/>
          <w:szCs w:val="32"/>
          <w:lang w:eastAsia="zh-CN"/>
        </w:rPr>
        <w:t>组织</w:t>
      </w:r>
      <w:r>
        <w:rPr>
          <w:rFonts w:hint="eastAsia" w:ascii="仿宋_GB2312" w:hAnsi="仿宋_GB2312" w:eastAsia="仿宋_GB2312" w:cs="仿宋_GB2312"/>
          <w:b w:val="0"/>
          <w:bCs w:val="0"/>
          <w:color w:val="000000"/>
          <w:spacing w:val="8"/>
          <w:sz w:val="32"/>
          <w:szCs w:val="32"/>
        </w:rPr>
        <w:t>生活会，</w:t>
      </w:r>
      <w:r>
        <w:rPr>
          <w:rFonts w:hint="eastAsia" w:ascii="仿宋_GB2312" w:hAnsi="仿宋_GB2312" w:eastAsia="仿宋_GB2312" w:cs="仿宋_GB2312"/>
          <w:b w:val="0"/>
          <w:bCs w:val="0"/>
          <w:color w:val="000000"/>
          <w:spacing w:val="8"/>
          <w:sz w:val="32"/>
          <w:szCs w:val="32"/>
          <w:lang w:eastAsia="zh-CN"/>
        </w:rPr>
        <w:t>领导班子和各科室负责人</w:t>
      </w:r>
      <w:r>
        <w:rPr>
          <w:rFonts w:hint="eastAsia" w:ascii="仿宋_GB2312" w:hAnsi="仿宋_GB2312" w:eastAsia="仿宋_GB2312" w:cs="仿宋_GB2312"/>
          <w:b w:val="0"/>
          <w:bCs w:val="0"/>
          <w:color w:val="000000"/>
          <w:spacing w:val="8"/>
          <w:sz w:val="32"/>
          <w:szCs w:val="32"/>
        </w:rPr>
        <w:t>对照</w:t>
      </w:r>
      <w:r>
        <w:rPr>
          <w:rFonts w:hint="eastAsia" w:ascii="仿宋_GB2312" w:hAnsi="仿宋_GB2312" w:eastAsia="仿宋_GB2312" w:cs="仿宋_GB2312"/>
          <w:b w:val="0"/>
          <w:bCs w:val="0"/>
          <w:color w:val="000000"/>
          <w:spacing w:val="8"/>
          <w:sz w:val="32"/>
          <w:szCs w:val="32"/>
          <w:lang w:eastAsia="zh-CN"/>
        </w:rPr>
        <w:t>市委巡察</w:t>
      </w:r>
      <w:r>
        <w:rPr>
          <w:rFonts w:hint="eastAsia" w:ascii="仿宋_GB2312" w:hAnsi="仿宋_GB2312" w:eastAsia="仿宋_GB2312" w:cs="仿宋_GB2312"/>
          <w:b w:val="0"/>
          <w:bCs w:val="0"/>
          <w:color w:val="000000"/>
          <w:spacing w:val="8"/>
          <w:sz w:val="32"/>
          <w:szCs w:val="32"/>
        </w:rPr>
        <w:t>反馈意见全面查摆</w:t>
      </w:r>
      <w:r>
        <w:rPr>
          <w:rFonts w:hint="eastAsia" w:ascii="仿宋_GB2312" w:hAnsi="仿宋_GB2312" w:eastAsia="仿宋_GB2312" w:cs="仿宋_GB2312"/>
          <w:b w:val="0"/>
          <w:bCs w:val="0"/>
          <w:color w:val="000000"/>
          <w:spacing w:val="8"/>
          <w:sz w:val="32"/>
          <w:szCs w:val="32"/>
          <w:lang w:eastAsia="zh-CN"/>
        </w:rPr>
        <w:t>、</w:t>
      </w:r>
      <w:r>
        <w:rPr>
          <w:rFonts w:hint="eastAsia" w:ascii="仿宋_GB2312" w:hAnsi="仿宋_GB2312" w:eastAsia="仿宋_GB2312" w:cs="仿宋_GB2312"/>
          <w:b w:val="0"/>
          <w:bCs w:val="0"/>
          <w:color w:val="000000"/>
          <w:spacing w:val="8"/>
          <w:sz w:val="32"/>
          <w:szCs w:val="32"/>
        </w:rPr>
        <w:t>深刻剖析、凝聚共识，确保</w:t>
      </w:r>
      <w:r>
        <w:rPr>
          <w:rFonts w:hint="eastAsia" w:ascii="仿宋_GB2312" w:hAnsi="仿宋_GB2312" w:eastAsia="仿宋_GB2312" w:cs="仿宋_GB2312"/>
          <w:b w:val="0"/>
          <w:bCs w:val="0"/>
          <w:color w:val="000000"/>
          <w:spacing w:val="8"/>
          <w:sz w:val="32"/>
          <w:szCs w:val="32"/>
          <w:lang w:eastAsia="zh-CN"/>
        </w:rPr>
        <w:t>巡察</w:t>
      </w:r>
      <w:r>
        <w:rPr>
          <w:rFonts w:hint="eastAsia" w:ascii="仿宋_GB2312" w:hAnsi="仿宋_GB2312" w:eastAsia="仿宋_GB2312" w:cs="仿宋_GB2312"/>
          <w:b w:val="0"/>
          <w:bCs w:val="0"/>
          <w:color w:val="000000"/>
          <w:spacing w:val="8"/>
          <w:sz w:val="32"/>
          <w:szCs w:val="32"/>
        </w:rPr>
        <w:t>整改工作沿着正确方向推进。</w:t>
      </w:r>
    </w:p>
    <w:p w14:paraId="29A7EC6D">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right="0" w:rightChars="0" w:firstLine="672" w:firstLineChars="200"/>
        <w:jc w:val="both"/>
        <w:textAlignment w:val="auto"/>
        <w:outlineLvl w:val="9"/>
        <w:rPr>
          <w:rFonts w:hint="eastAsia" w:ascii="仿宋_GB2312" w:hAnsi="仿宋_GB2312" w:eastAsia="仿宋_GB2312" w:cs="仿宋_GB2312"/>
          <w:b w:val="0"/>
          <w:bCs w:val="0"/>
          <w:snapToGrid w:val="0"/>
          <w:color w:val="000000"/>
          <w:kern w:val="0"/>
          <w:sz w:val="32"/>
          <w:szCs w:val="32"/>
          <w:lang w:eastAsia="zh-CN"/>
        </w:rPr>
      </w:pPr>
      <w:r>
        <w:rPr>
          <w:rFonts w:hint="eastAsia" w:ascii="楷体_GB2312" w:hAnsi="楷体_GB2312" w:eastAsia="楷体_GB2312" w:cs="楷体_GB2312"/>
          <w:b w:val="0"/>
          <w:bCs w:val="0"/>
          <w:color w:val="000000"/>
          <w:spacing w:val="8"/>
          <w:sz w:val="32"/>
          <w:szCs w:val="32"/>
          <w:lang w:val="en-US" w:eastAsia="zh-CN"/>
        </w:rPr>
        <w:t>加强组织领导，压实责任抓整改。</w:t>
      </w:r>
      <w:r>
        <w:rPr>
          <w:rFonts w:hint="eastAsia" w:ascii="仿宋_GB2312" w:hAnsi="仿宋_GB2312" w:eastAsia="仿宋_GB2312" w:cs="仿宋_GB2312"/>
          <w:b w:val="0"/>
          <w:bCs w:val="0"/>
          <w:color w:val="000000"/>
          <w:spacing w:val="8"/>
          <w:sz w:val="32"/>
          <w:szCs w:val="32"/>
          <w:lang w:eastAsia="zh-CN"/>
        </w:rPr>
        <w:t>市驻京联络处</w:t>
      </w:r>
      <w:r>
        <w:rPr>
          <w:rFonts w:hint="eastAsia" w:ascii="仿宋_GB2312" w:hAnsi="仿宋_GB2312" w:eastAsia="仿宋_GB2312" w:cs="仿宋_GB2312"/>
          <w:b w:val="0"/>
          <w:bCs w:val="0"/>
          <w:color w:val="000000"/>
          <w:spacing w:val="8"/>
          <w:sz w:val="32"/>
          <w:szCs w:val="32"/>
          <w:lang w:val="en-US" w:eastAsia="zh-CN"/>
        </w:rPr>
        <w:t>成立由主要负责同志任组长的市委</w:t>
      </w:r>
      <w:r>
        <w:rPr>
          <w:rFonts w:hint="eastAsia" w:ascii="仿宋_GB2312" w:hAnsi="仿宋_GB2312" w:eastAsia="仿宋_GB2312" w:cs="仿宋_GB2312"/>
          <w:b w:val="0"/>
          <w:bCs w:val="0"/>
          <w:sz w:val="32"/>
          <w:szCs w:val="32"/>
          <w:lang w:val="en-US" w:eastAsia="zh-CN"/>
        </w:rPr>
        <w:t>巡察反馈意见整改工作领导小组</w:t>
      </w:r>
      <w:r>
        <w:rPr>
          <w:rFonts w:hint="eastAsia" w:ascii="仿宋_GB2312" w:hAnsi="仿宋_GB2312" w:eastAsia="仿宋_GB2312" w:cs="仿宋_GB2312"/>
          <w:b w:val="0"/>
          <w:bCs w:val="0"/>
          <w:color w:val="000000"/>
          <w:spacing w:val="8"/>
          <w:sz w:val="32"/>
          <w:szCs w:val="32"/>
          <w:lang w:val="en-US" w:eastAsia="zh-CN"/>
        </w:rPr>
        <w:t>，加强统筹领导和</w:t>
      </w:r>
      <w:r>
        <w:rPr>
          <w:rFonts w:hint="eastAsia" w:ascii="仿宋_GB2312" w:hAnsi="仿宋_GB2312" w:eastAsia="仿宋_GB2312" w:cs="仿宋_GB2312"/>
          <w:b w:val="0"/>
          <w:bCs w:val="0"/>
          <w:color w:val="000000"/>
          <w:spacing w:val="8"/>
          <w:sz w:val="32"/>
          <w:szCs w:val="32"/>
        </w:rPr>
        <w:t>督促</w:t>
      </w:r>
      <w:r>
        <w:rPr>
          <w:rFonts w:hint="eastAsia" w:ascii="仿宋_GB2312" w:hAnsi="仿宋_GB2312" w:eastAsia="仿宋_GB2312" w:cs="仿宋_GB2312"/>
          <w:b w:val="0"/>
          <w:bCs w:val="0"/>
          <w:color w:val="000000"/>
          <w:spacing w:val="8"/>
          <w:sz w:val="32"/>
          <w:szCs w:val="32"/>
          <w:lang w:eastAsia="zh-CN"/>
        </w:rPr>
        <w:t>整改</w:t>
      </w:r>
      <w:r>
        <w:rPr>
          <w:rFonts w:hint="eastAsia" w:ascii="仿宋_GB2312" w:hAnsi="仿宋_GB2312" w:eastAsia="仿宋_GB2312" w:cs="仿宋_GB2312"/>
          <w:b w:val="0"/>
          <w:bCs w:val="0"/>
          <w:color w:val="000000"/>
          <w:spacing w:val="8"/>
          <w:sz w:val="32"/>
          <w:szCs w:val="32"/>
        </w:rPr>
        <w:t>落实</w:t>
      </w:r>
      <w:r>
        <w:rPr>
          <w:rFonts w:hint="eastAsia" w:ascii="仿宋_GB2312" w:hAnsi="仿宋_GB2312" w:eastAsia="仿宋_GB2312" w:cs="仿宋_GB2312"/>
          <w:b w:val="0"/>
          <w:bCs w:val="0"/>
          <w:color w:val="000000"/>
          <w:spacing w:val="8"/>
          <w:sz w:val="32"/>
          <w:szCs w:val="32"/>
          <w:lang w:eastAsia="zh-CN"/>
        </w:rPr>
        <w:t>。</w:t>
      </w:r>
      <w:r>
        <w:rPr>
          <w:rFonts w:hint="eastAsia" w:ascii="仿宋_GB2312" w:hAnsi="仿宋_GB2312" w:eastAsia="仿宋_GB2312" w:cs="仿宋_GB2312"/>
          <w:b w:val="0"/>
          <w:bCs w:val="0"/>
          <w:color w:val="000000"/>
          <w:spacing w:val="8"/>
          <w:sz w:val="32"/>
          <w:szCs w:val="32"/>
          <w:lang w:val="en-US" w:eastAsia="zh-CN"/>
        </w:rPr>
        <w:t>主要负责同志认真履行巡察整改第一责任人责任，精心部署巡察整改工作，</w:t>
      </w:r>
      <w:r>
        <w:rPr>
          <w:rFonts w:hint="eastAsia" w:ascii="仿宋_GB2312" w:hAnsi="仿宋_GB2312" w:eastAsia="仿宋_GB2312" w:cs="仿宋_GB2312"/>
          <w:b w:val="0"/>
          <w:bCs w:val="0"/>
          <w:snapToGrid w:val="0"/>
          <w:color w:val="000000"/>
          <w:kern w:val="0"/>
          <w:sz w:val="32"/>
          <w:szCs w:val="32"/>
          <w:lang w:eastAsia="zh-CN"/>
        </w:rPr>
        <w:t>各科室负责人严格落实所在科室整改责任，主动认领问题清单，定期研究负责领域整改进展、协调解决具体问题，形成“班子抓总、科室主责、全员参与”的整改工作格局。</w:t>
      </w:r>
    </w:p>
    <w:p w14:paraId="2E2692BE">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right="0" w:rightChars="0" w:firstLine="672" w:firstLineChars="200"/>
        <w:jc w:val="both"/>
        <w:textAlignment w:val="auto"/>
        <w:outlineLvl w:val="9"/>
        <w:rPr>
          <w:rFonts w:hint="eastAsia" w:ascii="仿宋_GB2312" w:hAnsi="仿宋_GB2312" w:eastAsia="仿宋_GB2312" w:cs="仿宋_GB2312"/>
          <w:b w:val="0"/>
          <w:bCs w:val="0"/>
          <w:color w:val="000000"/>
          <w:spacing w:val="8"/>
          <w:sz w:val="32"/>
          <w:szCs w:val="32"/>
          <w:lang w:eastAsia="zh-CN"/>
        </w:rPr>
      </w:pPr>
      <w:r>
        <w:rPr>
          <w:rFonts w:hint="eastAsia" w:ascii="楷体_GB2312" w:hAnsi="楷体_GB2312" w:eastAsia="楷体_GB2312" w:cs="楷体_GB2312"/>
          <w:b w:val="0"/>
          <w:bCs w:val="0"/>
          <w:color w:val="000000"/>
          <w:spacing w:val="8"/>
          <w:sz w:val="32"/>
          <w:szCs w:val="32"/>
          <w:lang w:val="en-US" w:eastAsia="zh-CN"/>
        </w:rPr>
        <w:t>坚持问题导向，强化督促指导。</w:t>
      </w:r>
      <w:r>
        <w:rPr>
          <w:rFonts w:hint="eastAsia" w:ascii="仿宋_GB2312" w:hAnsi="仿宋_GB2312" w:eastAsia="仿宋_GB2312" w:cs="仿宋_GB2312"/>
          <w:b w:val="0"/>
          <w:bCs w:val="0"/>
          <w:color w:val="000000"/>
          <w:spacing w:val="8"/>
          <w:sz w:val="32"/>
          <w:szCs w:val="32"/>
          <w:lang w:eastAsia="zh-CN"/>
        </w:rPr>
        <w:t>市驻京联络处</w:t>
      </w:r>
      <w:r>
        <w:rPr>
          <w:rFonts w:hint="eastAsia" w:ascii="仿宋_GB2312" w:hAnsi="仿宋_GB2312" w:eastAsia="仿宋_GB2312" w:cs="仿宋_GB2312"/>
          <w:b w:val="0"/>
          <w:bCs w:val="0"/>
          <w:color w:val="000000"/>
          <w:spacing w:val="8"/>
          <w:sz w:val="32"/>
          <w:szCs w:val="32"/>
        </w:rPr>
        <w:t>全面对照市委</w:t>
      </w:r>
      <w:r>
        <w:rPr>
          <w:rFonts w:hint="eastAsia" w:ascii="仿宋_GB2312" w:hAnsi="仿宋_GB2312" w:eastAsia="仿宋_GB2312" w:cs="仿宋_GB2312"/>
          <w:b w:val="0"/>
          <w:bCs w:val="0"/>
          <w:color w:val="000000"/>
          <w:spacing w:val="8"/>
          <w:sz w:val="32"/>
          <w:szCs w:val="32"/>
          <w:lang w:eastAsia="zh-CN"/>
        </w:rPr>
        <w:t>巡察</w:t>
      </w:r>
      <w:r>
        <w:rPr>
          <w:rFonts w:hint="eastAsia" w:ascii="仿宋_GB2312" w:hAnsi="仿宋_GB2312" w:eastAsia="仿宋_GB2312" w:cs="仿宋_GB2312"/>
          <w:b w:val="0"/>
          <w:bCs w:val="0"/>
          <w:color w:val="000000"/>
          <w:spacing w:val="8"/>
          <w:sz w:val="32"/>
          <w:szCs w:val="32"/>
        </w:rPr>
        <w:t>反馈意见制定印发整改工作方案，系统梳理形成问题清单、任务清单、责任清单，明确责任领导、牵头科室、整改措施和完成时限，实行“台账式管理、销号式推进”，确保每项任务</w:t>
      </w:r>
      <w:r>
        <w:rPr>
          <w:rFonts w:hint="eastAsia" w:ascii="仿宋_GB2312" w:hAnsi="仿宋_GB2312" w:eastAsia="仿宋_GB2312" w:cs="仿宋_GB2312"/>
          <w:b w:val="0"/>
          <w:bCs w:val="0"/>
          <w:color w:val="000000"/>
          <w:spacing w:val="8"/>
          <w:sz w:val="32"/>
          <w:szCs w:val="32"/>
          <w:lang w:eastAsia="zh-CN"/>
        </w:rPr>
        <w:t>分工明确，责任到人，</w:t>
      </w:r>
      <w:r>
        <w:rPr>
          <w:rFonts w:hint="eastAsia" w:ascii="仿宋_GB2312" w:hAnsi="仿宋_GB2312" w:eastAsia="仿宋_GB2312" w:cs="仿宋_GB2312"/>
          <w:b w:val="0"/>
          <w:bCs w:val="0"/>
          <w:color w:val="000000"/>
          <w:spacing w:val="8"/>
          <w:sz w:val="32"/>
          <w:szCs w:val="32"/>
        </w:rPr>
        <w:t>以严肃态度扛牢整改责任</w:t>
      </w:r>
      <w:r>
        <w:rPr>
          <w:rFonts w:hint="eastAsia" w:ascii="仿宋_GB2312" w:hAnsi="仿宋_GB2312" w:eastAsia="仿宋_GB2312" w:cs="仿宋_GB2312"/>
          <w:b w:val="0"/>
          <w:bCs w:val="0"/>
          <w:color w:val="000000"/>
          <w:spacing w:val="8"/>
          <w:sz w:val="32"/>
          <w:szCs w:val="32"/>
          <w:lang w:eastAsia="zh-CN"/>
        </w:rPr>
        <w:t>，</w:t>
      </w:r>
      <w:r>
        <w:rPr>
          <w:rFonts w:hint="eastAsia" w:ascii="仿宋_GB2312" w:hAnsi="仿宋_GB2312" w:eastAsia="仿宋_GB2312" w:cs="仿宋_GB2312"/>
          <w:b w:val="0"/>
          <w:bCs w:val="0"/>
          <w:color w:val="000000"/>
          <w:spacing w:val="8"/>
          <w:sz w:val="32"/>
          <w:szCs w:val="32"/>
        </w:rPr>
        <w:t>以严实举措推动问题解决</w:t>
      </w:r>
      <w:r>
        <w:rPr>
          <w:rFonts w:hint="eastAsia" w:ascii="仿宋_GB2312" w:hAnsi="仿宋_GB2312" w:eastAsia="仿宋_GB2312" w:cs="仿宋_GB2312"/>
          <w:b w:val="0"/>
          <w:bCs w:val="0"/>
          <w:color w:val="000000"/>
          <w:spacing w:val="8"/>
          <w:sz w:val="32"/>
          <w:szCs w:val="32"/>
          <w:lang w:eastAsia="zh-CN"/>
        </w:rPr>
        <w:t>，</w:t>
      </w:r>
      <w:r>
        <w:rPr>
          <w:rFonts w:hint="eastAsia" w:ascii="仿宋_GB2312" w:hAnsi="仿宋_GB2312" w:eastAsia="仿宋_GB2312" w:cs="仿宋_GB2312"/>
          <w:b w:val="0"/>
          <w:bCs w:val="0"/>
          <w:color w:val="000000"/>
          <w:spacing w:val="8"/>
          <w:sz w:val="32"/>
          <w:szCs w:val="32"/>
        </w:rPr>
        <w:t>以严明纪律保障整改实效，坚决杜绝“纸面整改”“虚假整改”，推动巡察反馈问题清仓见底、整改到位</w:t>
      </w:r>
      <w:r>
        <w:rPr>
          <w:rFonts w:hint="eastAsia" w:ascii="仿宋_GB2312" w:hAnsi="仿宋_GB2312" w:eastAsia="仿宋_GB2312" w:cs="仿宋_GB2312"/>
          <w:b w:val="0"/>
          <w:bCs w:val="0"/>
          <w:color w:val="000000"/>
          <w:spacing w:val="8"/>
          <w:sz w:val="32"/>
          <w:szCs w:val="32"/>
          <w:lang w:eastAsia="zh-CN"/>
        </w:rPr>
        <w:t>。</w:t>
      </w:r>
    </w:p>
    <w:p w14:paraId="1842B254">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right="0" w:rightChars="0" w:firstLine="672" w:firstLineChars="200"/>
        <w:jc w:val="both"/>
        <w:textAlignment w:val="auto"/>
        <w:outlineLvl w:val="9"/>
        <w:rPr>
          <w:rFonts w:hint="eastAsia" w:ascii="仿宋_GB2312" w:hAnsi="仿宋_GB2312" w:eastAsia="仿宋_GB2312" w:cs="仿宋_GB2312"/>
          <w:b w:val="0"/>
          <w:bCs w:val="0"/>
          <w:color w:val="000000"/>
          <w:spacing w:val="8"/>
          <w:sz w:val="32"/>
          <w:szCs w:val="32"/>
        </w:rPr>
      </w:pPr>
      <w:r>
        <w:rPr>
          <w:rFonts w:hint="eastAsia" w:ascii="楷体_GB2312" w:hAnsi="楷体_GB2312" w:eastAsia="楷体_GB2312" w:cs="楷体_GB2312"/>
          <w:b w:val="0"/>
          <w:bCs w:val="0"/>
          <w:color w:val="000000"/>
          <w:spacing w:val="8"/>
          <w:sz w:val="32"/>
          <w:szCs w:val="32"/>
          <w:lang w:val="en-US" w:eastAsia="zh-CN"/>
        </w:rPr>
        <w:t>坚持标本兼治，推动落地见效。</w:t>
      </w:r>
      <w:r>
        <w:rPr>
          <w:rFonts w:hint="eastAsia" w:ascii="仿宋_GB2312" w:hAnsi="仿宋_GB2312" w:eastAsia="仿宋_GB2312" w:cs="仿宋_GB2312"/>
          <w:b w:val="0"/>
          <w:bCs w:val="0"/>
          <w:color w:val="000000"/>
          <w:spacing w:val="8"/>
          <w:sz w:val="32"/>
          <w:szCs w:val="32"/>
          <w:lang w:eastAsia="zh-CN"/>
        </w:rPr>
        <w:t>市驻京联络处立足常态长效，建章立制推进整改工作，</w:t>
      </w:r>
      <w:r>
        <w:rPr>
          <w:rFonts w:hint="eastAsia" w:ascii="仿宋_GB2312" w:hAnsi="仿宋_GB2312" w:eastAsia="仿宋_GB2312" w:cs="仿宋_GB2312"/>
          <w:b w:val="0"/>
          <w:bCs w:val="0"/>
          <w:color w:val="000000"/>
          <w:spacing w:val="8"/>
          <w:sz w:val="32"/>
          <w:szCs w:val="32"/>
          <w:lang w:val="en-US" w:eastAsia="zh-CN"/>
        </w:rPr>
        <w:t>主要负责同志</w:t>
      </w:r>
      <w:r>
        <w:rPr>
          <w:rFonts w:hint="eastAsia" w:ascii="仿宋_GB2312" w:hAnsi="仿宋_GB2312" w:eastAsia="仿宋_GB2312" w:cs="仿宋_GB2312"/>
          <w:b w:val="0"/>
          <w:bCs w:val="0"/>
          <w:color w:val="000000"/>
          <w:spacing w:val="8"/>
          <w:sz w:val="32"/>
          <w:szCs w:val="32"/>
          <w:lang w:eastAsia="zh-CN"/>
        </w:rPr>
        <w:t>带头攻坚重点难点任务，协调解决跨科室协作难题，推动长效机制建设。坚持“当下改”与“长久立”结合，推动解决一个问题、完善一项制度、堵塞一个漏洞。</w:t>
      </w:r>
    </w:p>
    <w:p w14:paraId="03F1D061">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72" w:firstLineChars="200"/>
        <w:jc w:val="both"/>
        <w:textAlignment w:val="auto"/>
        <w:outlineLvl w:val="9"/>
        <w:rPr>
          <w:rFonts w:hint="eastAsia" w:ascii="黑体" w:hAnsi="黑体" w:eastAsia="黑体" w:cs="黑体"/>
          <w:b w:val="0"/>
          <w:bCs w:val="0"/>
          <w:color w:val="000000"/>
          <w:spacing w:val="8"/>
          <w:sz w:val="32"/>
          <w:szCs w:val="32"/>
          <w:lang w:eastAsia="zh-CN"/>
        </w:rPr>
      </w:pPr>
      <w:r>
        <w:rPr>
          <w:rFonts w:hint="eastAsia" w:ascii="黑体" w:hAnsi="黑体" w:eastAsia="黑体" w:cs="黑体"/>
          <w:b w:val="0"/>
          <w:bCs w:val="0"/>
          <w:color w:val="000000"/>
          <w:spacing w:val="8"/>
          <w:sz w:val="32"/>
          <w:szCs w:val="32"/>
          <w:lang w:eastAsia="zh-CN"/>
        </w:rPr>
        <w:t>二、巡察整改任务落实情况</w:t>
      </w:r>
    </w:p>
    <w:p w14:paraId="314F4BD1">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right="0" w:rightChars="0"/>
        <w:jc w:val="both"/>
        <w:textAlignment w:val="auto"/>
        <w:outlineLvl w:val="9"/>
        <w:rPr>
          <w:rFonts w:hint="eastAsia" w:ascii="楷体_GB2312" w:hAnsi="楷体_GB2312" w:eastAsia="楷体_GB2312" w:cs="楷体_GB2312"/>
          <w:b w:val="0"/>
          <w:bCs w:val="0"/>
          <w:color w:val="000000"/>
          <w:spacing w:val="8"/>
          <w:sz w:val="32"/>
          <w:szCs w:val="32"/>
          <w:lang w:val="en-US" w:eastAsia="zh-CN"/>
        </w:rPr>
      </w:pPr>
      <w:r>
        <w:rPr>
          <w:rFonts w:hint="eastAsia" w:ascii="楷体_GB2312" w:hAnsi="楷体_GB2312" w:eastAsia="楷体_GB2312" w:cs="楷体_GB2312"/>
          <w:b w:val="0"/>
          <w:bCs w:val="0"/>
          <w:color w:val="000000"/>
          <w:spacing w:val="8"/>
          <w:sz w:val="32"/>
          <w:szCs w:val="32"/>
          <w:lang w:val="en-US" w:eastAsia="zh-CN"/>
        </w:rPr>
        <w:t>（一）关于上一轮巡察整改落实方面</w:t>
      </w:r>
    </w:p>
    <w:p w14:paraId="2E9B885E">
      <w:pPr>
        <w:keepNext w:val="0"/>
        <w:keepLines w:val="0"/>
        <w:pageBreakBefore w:val="0"/>
        <w:widowControl w:val="0"/>
        <w:numPr>
          <w:ilvl w:val="0"/>
          <w:numId w:val="0"/>
        </w:numPr>
        <w:kinsoku/>
        <w:wordWrap/>
        <w:overflowPunct/>
        <w:topLinePunct w:val="0"/>
        <w:autoSpaceDE/>
        <w:autoSpaceDN/>
        <w:bidi w:val="0"/>
        <w:adjustRightInd/>
        <w:snapToGrid/>
        <w:spacing w:before="0" w:after="0" w:line="580" w:lineRule="exact"/>
        <w:ind w:right="0" w:rightChars="0" w:firstLine="643" w:firstLineChars="200"/>
        <w:jc w:val="both"/>
        <w:textAlignment w:val="auto"/>
        <w:outlineLvl w:val="9"/>
        <w:rPr>
          <w:rFonts w:hint="eastAsia" w:ascii="仿宋_GB2312" w:hAnsi="仿宋_GB2312" w:eastAsia="仿宋_GB2312" w:cs="仿宋_GB2312"/>
          <w:b w:val="0"/>
          <w:bCs w:val="0"/>
          <w:snapToGrid w:val="0"/>
          <w:color w:val="000000"/>
          <w:kern w:val="0"/>
          <w:sz w:val="32"/>
          <w:szCs w:val="32"/>
          <w:lang w:val="en-US" w:eastAsia="zh-CN"/>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color w:val="000000"/>
          <w:sz w:val="32"/>
          <w:szCs w:val="32"/>
          <w:lang w:val="en-US" w:eastAsia="zh-CN"/>
        </w:rPr>
        <w:t>规范做好会议记录。</w:t>
      </w:r>
      <w:r>
        <w:rPr>
          <w:rFonts w:hint="eastAsia" w:ascii="仿宋_GB2312" w:hAnsi="仿宋_GB2312" w:eastAsia="仿宋_GB2312" w:cs="仿宋_GB2312"/>
          <w:b w:val="0"/>
          <w:bCs w:val="0"/>
          <w:color w:val="000000"/>
          <w:sz w:val="32"/>
          <w:szCs w:val="32"/>
          <w:lang w:val="en-US" w:eastAsia="zh-CN"/>
        </w:rPr>
        <w:t>市驻京联络处加强日常监督，指定专人负责会议记录，分管班子成员定期对会议记录进行抽查，确保班子会议、党支部会议记录详实、准确、规范。</w:t>
      </w:r>
    </w:p>
    <w:p w14:paraId="4B42EF39">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3" w:firstLineChars="200"/>
        <w:jc w:val="both"/>
        <w:textAlignment w:val="auto"/>
        <w:outlineLvl w:val="9"/>
        <w:rPr>
          <w:rFonts w:hint="eastAsia" w:ascii="仿宋_GB2312" w:hAnsi="仿宋_GB2312" w:eastAsia="仿宋_GB2312" w:cs="仿宋_GB2312"/>
          <w:b w:val="0"/>
          <w:bCs w:val="0"/>
          <w:color w:val="000000"/>
          <w:sz w:val="32"/>
          <w:szCs w:val="32"/>
          <w:u w:val="single"/>
          <w:lang w:val="en-US" w:eastAsia="zh-CN"/>
        </w:rPr>
      </w:pPr>
      <w:r>
        <w:rPr>
          <w:rFonts w:hint="eastAsia" w:ascii="仿宋_GB2312" w:hAnsi="仿宋_GB2312" w:eastAsia="仿宋_GB2312" w:cs="仿宋_GB2312"/>
          <w:b/>
          <w:bCs/>
          <w:sz w:val="32"/>
          <w:szCs w:val="32"/>
          <w:lang w:val="en-US" w:eastAsia="zh-CN"/>
        </w:rPr>
        <w:t>2.规范财务管理。</w:t>
      </w:r>
      <w:r>
        <w:rPr>
          <w:rFonts w:hint="eastAsia" w:ascii="仿宋_GB2312" w:hAnsi="仿宋_GB2312" w:eastAsia="仿宋_GB2312" w:cs="仿宋_GB2312"/>
          <w:b w:val="0"/>
          <w:bCs w:val="0"/>
          <w:color w:val="000000"/>
          <w:sz w:val="32"/>
          <w:szCs w:val="32"/>
          <w:u w:val="none"/>
          <w:lang w:val="en-US" w:eastAsia="zh-CN"/>
        </w:rPr>
        <w:t>一是组织财务人员开展机关财务管理业务知识及财务制度再学习再培训，提升财务管理业务水平。二是认真落实各项财务管理制度，严格审核把关，确保各项经费支出规范。</w:t>
      </w:r>
    </w:p>
    <w:p w14:paraId="1B2AC9A1">
      <w:pPr>
        <w:pStyle w:val="2"/>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楷体_GB2312" w:hAnsi="楷体_GB2312" w:eastAsia="楷体_GB2312" w:cs="楷体_GB2312"/>
          <w:b w:val="0"/>
          <w:bCs w:val="0"/>
          <w:sz w:val="32"/>
          <w:szCs w:val="32"/>
          <w:u w:val="none"/>
          <w:lang w:val="en-US" w:eastAsia="zh-CN"/>
        </w:rPr>
      </w:pPr>
      <w:r>
        <w:rPr>
          <w:rFonts w:hint="eastAsia" w:ascii="楷体_GB2312" w:hAnsi="楷体_GB2312" w:eastAsia="楷体_GB2312" w:cs="楷体_GB2312"/>
          <w:b w:val="0"/>
          <w:bCs w:val="0"/>
          <w:sz w:val="32"/>
          <w:szCs w:val="32"/>
          <w:u w:val="none"/>
          <w:lang w:val="en-US" w:eastAsia="zh-CN"/>
        </w:rPr>
        <w:t>（二）关于履行驻京联络协调、信息辅政职能职责方面</w:t>
      </w:r>
    </w:p>
    <w:p w14:paraId="173D8C67">
      <w:pPr>
        <w:keepNext w:val="0"/>
        <w:keepLines w:val="0"/>
        <w:pageBreakBefore w:val="0"/>
        <w:widowControl w:val="0"/>
        <w:numPr>
          <w:ilvl w:val="0"/>
          <w:numId w:val="0"/>
        </w:numPr>
        <w:kinsoku/>
        <w:wordWrap/>
        <w:overflowPunct/>
        <w:topLinePunct w:val="0"/>
        <w:autoSpaceDE/>
        <w:autoSpaceDN/>
        <w:bidi w:val="0"/>
        <w:adjustRightInd/>
        <w:snapToGrid/>
        <w:spacing w:before="0" w:after="0" w:line="580" w:lineRule="exact"/>
        <w:ind w:right="0" w:rightChars="0" w:firstLine="643" w:firstLineChars="200"/>
        <w:jc w:val="both"/>
        <w:textAlignment w:val="auto"/>
        <w:outlineLvl w:val="9"/>
        <w:rPr>
          <w:rFonts w:hint="eastAsia" w:ascii="仿宋_GB2312" w:hAnsi="仿宋_GB2312" w:eastAsia="仿宋_GB2312" w:cs="仿宋_GB2312"/>
          <w:b w:val="0"/>
          <w:bCs w:val="0"/>
          <w:sz w:val="32"/>
          <w:szCs w:val="32"/>
          <w:u w:val="single"/>
          <w:lang w:val="en-US" w:eastAsia="zh-CN"/>
        </w:rPr>
      </w:pPr>
      <w:r>
        <w:rPr>
          <w:rFonts w:hint="eastAsia" w:ascii="仿宋_GB2312" w:hAnsi="仿宋_GB2312" w:eastAsia="仿宋_GB2312" w:cs="仿宋_GB2312"/>
          <w:b/>
          <w:bCs/>
          <w:sz w:val="32"/>
          <w:szCs w:val="32"/>
          <w:lang w:val="en-US" w:eastAsia="zh-CN"/>
        </w:rPr>
        <w:t>1.加强政治理论学习。</w:t>
      </w:r>
      <w:r>
        <w:rPr>
          <w:rFonts w:hint="eastAsia" w:ascii="仿宋_GB2312" w:hAnsi="仿宋_GB2312" w:eastAsia="仿宋_GB2312" w:cs="仿宋_GB2312"/>
          <w:b w:val="0"/>
          <w:bCs w:val="0"/>
          <w:sz w:val="32"/>
          <w:szCs w:val="32"/>
          <w:lang w:val="en-US" w:eastAsia="zh-CN"/>
        </w:rPr>
        <w:t>一是规范开展“第一议题”学习，领导班子会议、党支部会议持续深入学习习近平新时代中国特色社会主义思想，及时跟进学习习近平总书记重要讲话重要指示精神，并结合驻京主责主业及工作实际研究贯彻落实意见，确保理论学习取得实效。二是理论学习与驻京业务紧密结合。加大对习近平总书记关于经济工作、人才工作、信访工作等与驻京业务相关重要讲话重要指示精神的学习，组织党员干部结合工作实际开展交流研讨，将理论学习成果转化为破解招商引资、招才引智等难题的具体举措，推动形成“学讲话、谋业务、促落实”的浓厚氛围，不断提升干部理论素养与业务融合能力，推动驻京工作取得良好成效。</w:t>
      </w:r>
    </w:p>
    <w:p w14:paraId="58F5A97B">
      <w:pPr>
        <w:pStyle w:val="2"/>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jc w:val="both"/>
        <w:textAlignment w:val="auto"/>
        <w:rPr>
          <w:rFonts w:hint="eastAsia" w:ascii="仿宋_GB2312" w:hAnsi="仿宋_GB2312" w:eastAsia="仿宋_GB2312" w:cs="仿宋_GB2312"/>
          <w:b w:val="0"/>
          <w:bCs w:val="0"/>
          <w:color w:val="auto"/>
          <w:sz w:val="32"/>
          <w:szCs w:val="32"/>
          <w:u w:val="none" w:color="auto"/>
          <w:lang w:val="en-US" w:eastAsia="zh-CN"/>
        </w:rPr>
      </w:pPr>
      <w:r>
        <w:rPr>
          <w:rFonts w:hint="eastAsia" w:ascii="仿宋_GB2312" w:hAnsi="仿宋_GB2312" w:eastAsia="仿宋_GB2312" w:cs="仿宋_GB2312"/>
          <w:b/>
          <w:bCs/>
          <w:kern w:val="2"/>
          <w:sz w:val="32"/>
          <w:szCs w:val="32"/>
          <w:lang w:val="en-US" w:eastAsia="zh-CN"/>
        </w:rPr>
        <w:t>2.着力抓好“双招双引（招商引资、招才引智）”工作。</w:t>
      </w:r>
      <w:r>
        <w:rPr>
          <w:rFonts w:hint="eastAsia" w:ascii="仿宋_GB2312" w:hAnsi="仿宋_GB2312" w:eastAsia="仿宋_GB2312" w:cs="仿宋_GB2312"/>
          <w:b w:val="0"/>
          <w:bCs w:val="0"/>
          <w:color w:val="auto"/>
          <w:sz w:val="32"/>
          <w:szCs w:val="32"/>
          <w:lang w:val="en-US" w:eastAsia="zh-CN"/>
        </w:rPr>
        <w:t>一是积极开展驻外招商工作。</w:t>
      </w:r>
      <w:r>
        <w:rPr>
          <w:rFonts w:hint="eastAsia" w:ascii="仿宋_GB2312" w:hAnsi="仿宋_GB2312" w:eastAsia="仿宋_GB2312" w:cs="仿宋_GB2312"/>
          <w:b w:val="0"/>
          <w:bCs w:val="0"/>
          <w:color w:val="000000"/>
          <w:sz w:val="32"/>
          <w:szCs w:val="32"/>
          <w:lang w:val="en-US" w:eastAsia="zh-CN"/>
        </w:rPr>
        <w:t>市驻京联络处认真落实市委市政府关于招商工作的部署，</w:t>
      </w:r>
      <w:r>
        <w:rPr>
          <w:rFonts w:hint="eastAsia" w:ascii="仿宋_GB2312" w:hAnsi="仿宋_GB2312" w:eastAsia="仿宋_GB2312" w:cs="仿宋_GB2312"/>
          <w:b w:val="0"/>
          <w:bCs w:val="0"/>
          <w:color w:val="auto"/>
          <w:sz w:val="32"/>
          <w:szCs w:val="32"/>
          <w:lang w:val="en-US" w:eastAsia="zh-CN"/>
        </w:rPr>
        <w:t>全力以赴抓好驻外招商工作。招商队围绕我市重点产业以及各县（市、区）、园区主导产业，积极走访对接京津冀地区各类企业、行业协会及机构，多渠道宣传推介清远投资环境与发展机遇，挖掘招商资源。</w:t>
      </w:r>
      <w:r>
        <w:rPr>
          <w:rFonts w:hint="eastAsia" w:ascii="仿宋_GB2312" w:hAnsi="仿宋_GB2312" w:eastAsia="仿宋_GB2312" w:cs="仿宋_GB2312"/>
          <w:b w:val="0"/>
          <w:bCs w:val="0"/>
          <w:color w:val="auto"/>
          <w:sz w:val="32"/>
          <w:szCs w:val="32"/>
          <w:u w:val="none" w:color="auto"/>
          <w:lang w:val="en-US" w:eastAsia="zh-CN"/>
        </w:rPr>
        <w:t>二是扎实推进招才引智工作。协助市有关部门举办“百万英才汇南粤”2025年N城联动春季、秋季招聘北京站活动，在清华大学、中国农业大学、中国石油大学、北京林业大学等高校开展校园招聘；会同市有关单位召开清远在京学子座谈会和北京高校优秀清远籍学生代表座谈会，与在京优秀学子开展座谈交流，宣传我市人才政策与发展机遇；加强与清远籍在京学子的沟通交流，积极搭建在京学子的联络平台。</w:t>
      </w:r>
    </w:p>
    <w:p w14:paraId="6C080BC1">
      <w:pPr>
        <w:pStyle w:val="2"/>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jc w:val="both"/>
        <w:textAlignment w:val="auto"/>
        <w:rPr>
          <w:rFonts w:hint="eastAsia" w:ascii="仿宋_GB2312" w:hAnsi="仿宋_GB2312" w:eastAsia="仿宋_GB2312" w:cs="仿宋_GB2312"/>
          <w:b w:val="0"/>
          <w:bCs w:val="0"/>
          <w:sz w:val="32"/>
          <w:szCs w:val="32"/>
          <w:u w:val="none" w:color="auto"/>
          <w:lang w:val="en-US" w:eastAsia="zh-CN"/>
        </w:rPr>
      </w:pPr>
      <w:r>
        <w:rPr>
          <w:rFonts w:hint="eastAsia" w:ascii="仿宋_GB2312" w:hAnsi="仿宋_GB2312" w:eastAsia="仿宋_GB2312" w:cs="仿宋_GB2312"/>
          <w:b/>
          <w:bCs/>
          <w:kern w:val="2"/>
          <w:sz w:val="32"/>
          <w:szCs w:val="32"/>
          <w:lang w:val="en-US" w:eastAsia="zh-CN"/>
        </w:rPr>
        <w:t>3.积极凝聚在京乡贤资源。</w:t>
      </w:r>
      <w:r>
        <w:rPr>
          <w:rFonts w:hint="eastAsia" w:ascii="仿宋_GB2312" w:hAnsi="仿宋_GB2312" w:eastAsia="仿宋_GB2312" w:cs="仿宋_GB2312"/>
          <w:b w:val="0"/>
          <w:bCs w:val="0"/>
          <w:color w:val="auto"/>
          <w:spacing w:val="0"/>
          <w:sz w:val="32"/>
          <w:szCs w:val="32"/>
          <w:u w:val="none" w:color="auto"/>
          <w:lang w:val="en-US" w:eastAsia="zh-CN"/>
        </w:rPr>
        <w:t>建立健全常态化信息收集机制，全面摸排在京清远籍专家和企业家信息。加强走访联络，动员在京乡贤善用其资源优势为我市经济社会发展助力献策，积极宣传推介我市发展环境和产业政策，引荐优质企业来清考察投资。</w:t>
      </w:r>
    </w:p>
    <w:p w14:paraId="6839E005">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3" w:firstLineChars="200"/>
        <w:jc w:val="both"/>
        <w:textAlignment w:val="auto"/>
        <w:outlineLvl w:val="9"/>
        <w:rPr>
          <w:rFonts w:hint="eastAsia" w:ascii="仿宋_GB2312" w:hAnsi="仿宋_GB2312" w:eastAsia="仿宋_GB2312" w:cs="仿宋_GB2312"/>
          <w:b w:val="0"/>
          <w:bCs w:val="0"/>
          <w:sz w:val="32"/>
          <w:szCs w:val="32"/>
          <w:u w:val="single" w:color="auto"/>
          <w:lang w:val="en-US" w:eastAsia="zh-CN"/>
        </w:rPr>
      </w:pPr>
      <w:r>
        <w:rPr>
          <w:rFonts w:hint="eastAsia" w:ascii="仿宋_GB2312" w:hAnsi="仿宋_GB2312" w:eastAsia="仿宋_GB2312" w:cs="仿宋_GB2312"/>
          <w:b/>
          <w:bCs/>
          <w:kern w:val="2"/>
          <w:sz w:val="32"/>
          <w:szCs w:val="32"/>
          <w:lang w:val="en-US" w:eastAsia="zh-CN"/>
        </w:rPr>
        <w:t>4.着力提升驻京信息报送质量。</w:t>
      </w:r>
      <w:r>
        <w:rPr>
          <w:rFonts w:hint="eastAsia" w:ascii="仿宋_GB2312" w:hAnsi="仿宋_GB2312" w:eastAsia="仿宋_GB2312" w:cs="仿宋_GB2312"/>
          <w:b w:val="0"/>
          <w:bCs w:val="0"/>
          <w:sz w:val="32"/>
          <w:szCs w:val="32"/>
          <w:lang w:val="en-US" w:eastAsia="zh-CN"/>
        </w:rPr>
        <w:t>强化驻京信息报送工作，围绕市委市政府部署的重点工作和市领导关注的焦点问题收集信息，组织业务骨干赴兄弟单位学习先进经验与创新做法，有效提升驻京信息质量。</w:t>
      </w:r>
    </w:p>
    <w:p w14:paraId="2371F161">
      <w:pPr>
        <w:pStyle w:val="2"/>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楷体_GB2312" w:hAnsi="楷体_GB2312" w:eastAsia="楷体_GB2312" w:cs="楷体_GB2312"/>
          <w:b w:val="0"/>
          <w:bCs w:val="0"/>
          <w:color w:val="auto"/>
          <w:spacing w:val="0"/>
          <w:sz w:val="32"/>
          <w:szCs w:val="32"/>
          <w:u w:val="none"/>
          <w:lang w:val="en-US" w:eastAsia="zh-CN"/>
        </w:rPr>
      </w:pPr>
      <w:r>
        <w:rPr>
          <w:rFonts w:hint="eastAsia" w:ascii="楷体_GB2312" w:hAnsi="楷体_GB2312" w:eastAsia="楷体_GB2312" w:cs="楷体_GB2312"/>
          <w:b w:val="0"/>
          <w:bCs w:val="0"/>
          <w:color w:val="auto"/>
          <w:spacing w:val="0"/>
          <w:sz w:val="32"/>
          <w:szCs w:val="32"/>
          <w:u w:val="none"/>
          <w:lang w:val="en-US" w:eastAsia="zh-CN"/>
        </w:rPr>
        <w:t>（三）关于内部管理、作风建设方面</w:t>
      </w:r>
    </w:p>
    <w:p w14:paraId="1D35DA41">
      <w:pPr>
        <w:pStyle w:val="2"/>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jc w:val="both"/>
        <w:textAlignment w:val="auto"/>
        <w:rPr>
          <w:rFonts w:hint="eastAsia" w:ascii="仿宋_GB2312" w:hAnsi="仿宋_GB2312" w:eastAsia="仿宋_GB2312" w:cs="仿宋_GB2312"/>
          <w:b w:val="0"/>
          <w:bCs w:val="0"/>
          <w:color w:val="auto"/>
          <w:spacing w:val="0"/>
          <w:sz w:val="32"/>
          <w:szCs w:val="32"/>
          <w:u w:val="none"/>
          <w:lang w:val="en-US" w:eastAsia="zh-CN"/>
        </w:rPr>
      </w:pPr>
      <w:r>
        <w:rPr>
          <w:rFonts w:hint="eastAsia" w:ascii="仿宋_GB2312" w:hAnsi="仿宋_GB2312" w:eastAsia="仿宋_GB2312" w:cs="仿宋_GB2312"/>
          <w:b/>
          <w:bCs/>
          <w:kern w:val="2"/>
          <w:sz w:val="32"/>
          <w:szCs w:val="32"/>
          <w:lang w:val="en-US" w:eastAsia="zh-CN"/>
        </w:rPr>
        <w:t>1.加强内部管理。</w:t>
      </w:r>
      <w:r>
        <w:rPr>
          <w:rFonts w:hint="eastAsia" w:ascii="仿宋_GB2312" w:hAnsi="仿宋_GB2312" w:eastAsia="仿宋_GB2312" w:cs="仿宋_GB2312"/>
          <w:b w:val="0"/>
          <w:bCs w:val="0"/>
          <w:color w:val="auto"/>
          <w:spacing w:val="0"/>
          <w:sz w:val="32"/>
          <w:szCs w:val="32"/>
          <w:u w:val="none"/>
          <w:lang w:val="en-US" w:eastAsia="zh-CN"/>
        </w:rPr>
        <w:t>一是规范物资管理。</w:t>
      </w:r>
      <w:r>
        <w:rPr>
          <w:rFonts w:hint="eastAsia" w:ascii="仿宋_GB2312" w:hAnsi="仿宋_GB2312" w:eastAsia="仿宋_GB2312" w:cs="仿宋_GB2312"/>
          <w:b w:val="0"/>
          <w:bCs w:val="0"/>
          <w:sz w:val="32"/>
          <w:szCs w:val="32"/>
          <w:u w:val="none"/>
          <w:lang w:val="en-US" w:eastAsia="zh-CN"/>
        </w:rPr>
        <w:t>修订完善</w:t>
      </w:r>
      <w:r>
        <w:rPr>
          <w:rFonts w:hint="eastAsia" w:ascii="仿宋_GB2312" w:hAnsi="仿宋_GB2312" w:eastAsia="仿宋_GB2312" w:cs="仿宋_GB2312"/>
          <w:b w:val="0"/>
          <w:bCs w:val="0"/>
          <w:color w:val="auto"/>
          <w:kern w:val="2"/>
          <w:sz w:val="32"/>
          <w:szCs w:val="32"/>
          <w:u w:val="none"/>
          <w:lang w:val="en-US" w:eastAsia="zh-CN" w:bidi="ar-SA"/>
        </w:rPr>
        <w:t>物资管理制度</w:t>
      </w:r>
      <w:r>
        <w:rPr>
          <w:rFonts w:hint="eastAsia" w:ascii="仿宋_GB2312" w:hAnsi="仿宋_GB2312" w:eastAsia="仿宋_GB2312" w:cs="仿宋_GB2312"/>
          <w:b w:val="0"/>
          <w:bCs w:val="0"/>
          <w:sz w:val="32"/>
          <w:szCs w:val="32"/>
          <w:u w:val="none"/>
          <w:lang w:val="en-US" w:eastAsia="zh-CN"/>
        </w:rPr>
        <w:t>，完善物资入库、出库、退库审批手续，明确专人管理。定期开展自查和抽查，确保物资使用管理规范、高效。</w:t>
      </w:r>
    </w:p>
    <w:p w14:paraId="3D7950C2">
      <w:pPr>
        <w:pStyle w:val="2"/>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b w:val="0"/>
          <w:bCs w:val="0"/>
          <w:color w:val="auto"/>
          <w:kern w:val="2"/>
          <w:sz w:val="32"/>
          <w:szCs w:val="32"/>
          <w:u w:val="none"/>
          <w:lang w:val="en-US" w:eastAsia="zh-CN" w:bidi="ar-SA"/>
        </w:rPr>
      </w:pPr>
      <w:r>
        <w:rPr>
          <w:rFonts w:hint="eastAsia" w:ascii="仿宋_GB2312" w:hAnsi="仿宋_GB2312" w:eastAsia="仿宋_GB2312" w:cs="仿宋_GB2312"/>
          <w:b w:val="0"/>
          <w:bCs w:val="0"/>
          <w:sz w:val="32"/>
          <w:szCs w:val="32"/>
          <w:u w:val="none"/>
          <w:lang w:val="en-US" w:eastAsia="zh-CN"/>
        </w:rPr>
        <w:t>二是规范公务用车管理。修订</w:t>
      </w:r>
      <w:r>
        <w:rPr>
          <w:rFonts w:hint="eastAsia" w:ascii="仿宋_GB2312" w:hAnsi="仿宋_GB2312" w:eastAsia="仿宋_GB2312" w:cs="仿宋_GB2312"/>
          <w:b w:val="0"/>
          <w:bCs w:val="0"/>
          <w:color w:val="auto"/>
          <w:kern w:val="2"/>
          <w:sz w:val="32"/>
          <w:szCs w:val="32"/>
          <w:u w:val="none"/>
          <w:lang w:val="en-US" w:eastAsia="zh-CN" w:bidi="ar-SA"/>
        </w:rPr>
        <w:t>公务车辆和驾驶员管理制度，加强驾驶员安全教育培训，严格执行公务用车审批流程，确保公务车辆安全、规范使用。</w:t>
      </w:r>
    </w:p>
    <w:p w14:paraId="52E6DAF3">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jc w:val="both"/>
        <w:textAlignment w:val="auto"/>
        <w:rPr>
          <w:rFonts w:hint="eastAsia" w:ascii="仿宋_GB2312" w:hAnsi="仿宋_GB2312" w:eastAsia="仿宋_GB2312" w:cs="仿宋_GB2312"/>
          <w:b w:val="0"/>
          <w:bCs w:val="0"/>
          <w:color w:val="auto"/>
          <w:spacing w:val="0"/>
          <w:kern w:val="2"/>
          <w:sz w:val="32"/>
          <w:szCs w:val="32"/>
          <w:shd w:val="clear" w:color="auto" w:fill="auto"/>
          <w:lang w:val="en-US" w:eastAsia="zh-CN" w:bidi="ar-SA"/>
        </w:rPr>
      </w:pPr>
      <w:r>
        <w:rPr>
          <w:rFonts w:hint="eastAsia" w:ascii="仿宋_GB2312" w:hAnsi="仿宋_GB2312" w:eastAsia="仿宋_GB2312" w:cs="仿宋_GB2312"/>
          <w:b/>
          <w:bCs/>
          <w:kern w:val="2"/>
          <w:sz w:val="32"/>
          <w:szCs w:val="32"/>
          <w:lang w:val="en-US" w:eastAsia="zh-CN"/>
        </w:rPr>
        <w:t>2.持续狠抓作风文风建设。</w:t>
      </w:r>
      <w:r>
        <w:rPr>
          <w:rFonts w:hint="eastAsia" w:ascii="仿宋_GB2312" w:hAnsi="仿宋_GB2312" w:eastAsia="仿宋_GB2312" w:cs="仿宋_GB2312"/>
          <w:b w:val="0"/>
          <w:bCs w:val="0"/>
          <w:color w:val="auto"/>
          <w:spacing w:val="0"/>
          <w:kern w:val="2"/>
          <w:sz w:val="32"/>
          <w:szCs w:val="32"/>
          <w:shd w:val="clear" w:color="auto" w:fill="auto"/>
          <w:lang w:val="en-US" w:eastAsia="zh-CN" w:bidi="ar-SA"/>
        </w:rPr>
        <w:t>一是组织干部职工加强对《党政机关公文处理工作条例》的学习，提升办文能力和写作水平。二是严格审核把关。健全文稿起草校核机制，加强对文件材料的审核把关。切实维护公文的严肃性和权威性。三是结合深入贯彻中央八项规定精神学习教育，开展工作作风问题专项查摆，并限时完成整改。</w:t>
      </w:r>
    </w:p>
    <w:p w14:paraId="14F9B99E">
      <w:pPr>
        <w:pStyle w:val="2"/>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jc w:val="both"/>
        <w:textAlignment w:val="auto"/>
        <w:rPr>
          <w:rFonts w:hint="eastAsia" w:ascii="仿宋_GB2312" w:hAnsi="仿宋_GB2312" w:eastAsia="仿宋_GB2312" w:cs="仿宋_GB2312"/>
          <w:b w:val="0"/>
          <w:bCs w:val="0"/>
          <w:color w:val="auto"/>
          <w:spacing w:val="0"/>
          <w:sz w:val="32"/>
          <w:szCs w:val="32"/>
          <w:u w:val="none"/>
          <w:lang w:val="en-US" w:eastAsia="zh-CN"/>
        </w:rPr>
      </w:pPr>
      <w:r>
        <w:rPr>
          <w:rFonts w:hint="eastAsia" w:ascii="仿宋_GB2312" w:hAnsi="仿宋_GB2312" w:eastAsia="仿宋_GB2312" w:cs="仿宋_GB2312"/>
          <w:b/>
          <w:bCs/>
          <w:kern w:val="2"/>
          <w:sz w:val="32"/>
          <w:szCs w:val="32"/>
          <w:lang w:val="en-US" w:eastAsia="zh-CN"/>
        </w:rPr>
        <w:t>3.健全工会制度，规范工会经费开支。</w:t>
      </w:r>
      <w:r>
        <w:rPr>
          <w:rFonts w:hint="eastAsia" w:ascii="仿宋_GB2312" w:hAnsi="仿宋_GB2312" w:eastAsia="仿宋_GB2312" w:cs="仿宋_GB2312"/>
          <w:b w:val="0"/>
          <w:bCs w:val="0"/>
          <w:color w:val="auto"/>
          <w:spacing w:val="0"/>
          <w:sz w:val="32"/>
          <w:szCs w:val="32"/>
          <w:u w:val="none"/>
          <w:lang w:val="en-US" w:eastAsia="zh-CN"/>
        </w:rPr>
        <w:t>督促单位财务人员认真学习基层工会经费收支管理有关文件，结合单位实际修订工会慰问及活动管理办法，严格规范工会经费列支范围，确保资金依规使用。</w:t>
      </w:r>
    </w:p>
    <w:p w14:paraId="4A674F36">
      <w:pPr>
        <w:pStyle w:val="2"/>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楷体_GB2312" w:hAnsi="楷体_GB2312" w:eastAsia="楷体_GB2312" w:cs="楷体_GB2312"/>
          <w:b w:val="0"/>
          <w:bCs w:val="0"/>
          <w:color w:val="auto"/>
          <w:spacing w:val="0"/>
          <w:sz w:val="32"/>
          <w:szCs w:val="32"/>
          <w:u w:val="none"/>
          <w:lang w:val="en-US" w:eastAsia="zh-CN"/>
        </w:rPr>
      </w:pPr>
      <w:r>
        <w:rPr>
          <w:rFonts w:hint="eastAsia" w:ascii="楷体_GB2312" w:hAnsi="楷体_GB2312" w:eastAsia="楷体_GB2312" w:cs="楷体_GB2312"/>
          <w:b w:val="0"/>
          <w:bCs w:val="0"/>
          <w:color w:val="auto"/>
          <w:spacing w:val="0"/>
          <w:sz w:val="32"/>
          <w:szCs w:val="32"/>
          <w:u w:val="none"/>
          <w:lang w:val="en-US" w:eastAsia="zh-CN"/>
        </w:rPr>
        <w:t>（四）关于执行领导班子议事决策制度、干部队伍建设方面</w:t>
      </w:r>
    </w:p>
    <w:p w14:paraId="32EF917A">
      <w:pPr>
        <w:keepNext w:val="0"/>
        <w:keepLines w:val="0"/>
        <w:pageBreakBefore w:val="0"/>
        <w:widowControl w:val="0"/>
        <w:numPr>
          <w:ilvl w:val="0"/>
          <w:numId w:val="0"/>
        </w:numPr>
        <w:kinsoku/>
        <w:wordWrap/>
        <w:overflowPunct/>
        <w:topLinePunct w:val="0"/>
        <w:autoSpaceDE/>
        <w:autoSpaceDN/>
        <w:bidi w:val="0"/>
        <w:adjustRightInd/>
        <w:snapToGrid/>
        <w:spacing w:before="0" w:after="0" w:line="580" w:lineRule="exact"/>
        <w:ind w:right="0" w:rightChars="0" w:firstLine="643"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kern w:val="2"/>
          <w:sz w:val="32"/>
          <w:szCs w:val="32"/>
          <w:lang w:val="en-US" w:eastAsia="zh-CN"/>
        </w:rPr>
        <w:t>1.严格执行“三重一大”议事制度。</w:t>
      </w:r>
      <w:r>
        <w:rPr>
          <w:rFonts w:hint="eastAsia" w:ascii="仿宋_GB2312" w:hAnsi="仿宋_GB2312" w:eastAsia="仿宋_GB2312" w:cs="仿宋_GB2312"/>
          <w:b w:val="0"/>
          <w:bCs w:val="0"/>
          <w:sz w:val="32"/>
          <w:szCs w:val="32"/>
          <w:lang w:val="en-US" w:eastAsia="zh-CN"/>
        </w:rPr>
        <w:t>修订完善</w:t>
      </w:r>
      <w:r>
        <w:rPr>
          <w:rFonts w:hint="eastAsia" w:ascii="仿宋_GB2312" w:hAnsi="仿宋_GB2312" w:eastAsia="仿宋_GB2312" w:cs="仿宋_GB2312"/>
          <w:b w:val="0"/>
          <w:bCs w:val="0"/>
          <w:color w:val="auto"/>
          <w:sz w:val="32"/>
          <w:szCs w:val="32"/>
          <w:u w:val="none"/>
          <w:lang w:val="en-US" w:eastAsia="zh-CN"/>
        </w:rPr>
        <w:t>“三重一大”决策制度，</w:t>
      </w:r>
      <w:r>
        <w:rPr>
          <w:rFonts w:hint="eastAsia" w:ascii="仿宋_GB2312" w:hAnsi="仿宋_GB2312" w:eastAsia="仿宋_GB2312" w:cs="仿宋_GB2312"/>
          <w:b w:val="0"/>
          <w:bCs w:val="0"/>
          <w:sz w:val="32"/>
          <w:szCs w:val="32"/>
          <w:lang w:val="en-US" w:eastAsia="zh-CN"/>
        </w:rPr>
        <w:t>组织全体干部认真学习并严格执行。优化工作流程，建立“三重一大”事项前置审查机制，规范议题申报、会前酝酿、会议表决等环节，确保“三重一大”事项决策过程严肃、规范、高效。</w:t>
      </w:r>
    </w:p>
    <w:p w14:paraId="32CE746D">
      <w:pPr>
        <w:pStyle w:val="2"/>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kern w:val="2"/>
          <w:sz w:val="32"/>
          <w:szCs w:val="32"/>
          <w:lang w:val="en-US" w:eastAsia="zh-CN"/>
        </w:rPr>
        <w:t>2.加强干部队伍建设。</w:t>
      </w:r>
      <w:r>
        <w:rPr>
          <w:rFonts w:hint="eastAsia" w:ascii="仿宋_GB2312" w:hAnsi="仿宋_GB2312" w:eastAsia="仿宋_GB2312" w:cs="仿宋_GB2312"/>
          <w:b w:val="0"/>
          <w:bCs w:val="0"/>
          <w:color w:val="auto"/>
          <w:spacing w:val="0"/>
          <w:sz w:val="32"/>
          <w:szCs w:val="32"/>
          <w:u w:val="none"/>
          <w:lang w:val="en-US" w:eastAsia="zh-CN"/>
        </w:rPr>
        <w:t>一是规范选人用人工作。强化组织人事干部的学习培训，加强对《党政领导干部选拔任用条例》等政策文件的学习。选派人事干部参加组织部门举办的全省公务员法及配套法规培训，提升业务能力。严格执行干部人事各项工作制度，确保选人用人工作规范进行。二是加强驻京干部队伍业务培训。结合“双招双引”等业务工作，积极组织干部参加招商引资工作专题</w:t>
      </w:r>
      <w:r>
        <w:rPr>
          <w:rFonts w:hint="eastAsia" w:ascii="仿宋_GB2312" w:hAnsi="仿宋_GB2312" w:eastAsia="仿宋_GB2312" w:cs="仿宋_GB2312"/>
          <w:b w:val="0"/>
          <w:bCs w:val="0"/>
          <w:color w:val="auto"/>
          <w:spacing w:val="0"/>
          <w:sz w:val="32"/>
          <w:szCs w:val="32"/>
          <w:lang w:val="en-US" w:eastAsia="zh-CN"/>
        </w:rPr>
        <w:t>培训，通过培训学习，使干部在招商知识积累、招商政策理解、实务操作技巧等方面得到提升，进一步夯实履职根基，增强服务发展的主动性与实效性。</w:t>
      </w:r>
      <w:r>
        <w:rPr>
          <w:rFonts w:hint="eastAsia" w:ascii="仿宋_GB2312" w:hAnsi="仿宋_GB2312" w:eastAsia="仿宋_GB2312" w:cs="仿宋_GB2312"/>
          <w:b w:val="0"/>
          <w:bCs w:val="0"/>
          <w:color w:val="auto"/>
          <w:sz w:val="32"/>
          <w:szCs w:val="32"/>
          <w:lang w:val="en-US" w:eastAsia="zh-CN"/>
        </w:rPr>
        <w:t>三是着力抓好廉政警示教育。依托</w:t>
      </w:r>
      <w:r>
        <w:rPr>
          <w:rFonts w:hint="eastAsia" w:ascii="仿宋_GB2312" w:hAnsi="仿宋_GB2312" w:eastAsia="仿宋_GB2312" w:cs="仿宋_GB2312"/>
          <w:b w:val="0"/>
          <w:bCs w:val="0"/>
          <w:sz w:val="32"/>
          <w:szCs w:val="32"/>
          <w:lang w:val="en-US" w:eastAsia="zh-CN"/>
        </w:rPr>
        <w:t>主题党日活动，</w:t>
      </w:r>
      <w:r>
        <w:rPr>
          <w:rFonts w:hint="eastAsia" w:ascii="仿宋_GB2312" w:hAnsi="仿宋_GB2312" w:eastAsia="仿宋_GB2312" w:cs="仿宋_GB2312"/>
          <w:b w:val="0"/>
          <w:bCs w:val="0"/>
          <w:sz w:val="32"/>
          <w:szCs w:val="32"/>
          <w:u w:val="none"/>
          <w:lang w:val="en-US" w:eastAsia="zh-CN"/>
        </w:rPr>
        <w:t>组织党员干部参观红色教育基地、廉政教育基地，让党员干部在正风肃纪案例中受到警醒，知纪于心，明纪于行；</w:t>
      </w:r>
      <w:r>
        <w:rPr>
          <w:rFonts w:hint="eastAsia" w:ascii="仿宋_GB2312" w:hAnsi="仿宋_GB2312" w:eastAsia="仿宋_GB2312" w:cs="仿宋_GB2312"/>
          <w:b w:val="0"/>
          <w:bCs w:val="0"/>
          <w:sz w:val="32"/>
          <w:szCs w:val="32"/>
          <w:lang w:val="en-US" w:eastAsia="zh-CN"/>
        </w:rPr>
        <w:t>依托党员大会开展警示教育会，深刻剖析“风腐一体”典型案例，发挥以案促学作用，增强警示教育感染力，提升学习成效</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eastAsia="zh-CN"/>
        </w:rPr>
        <w:t>营造良好的廉洁风气。</w:t>
      </w:r>
    </w:p>
    <w:p w14:paraId="44CB50AC">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72" w:firstLineChars="200"/>
        <w:jc w:val="both"/>
        <w:textAlignment w:val="auto"/>
        <w:outlineLvl w:val="9"/>
        <w:rPr>
          <w:rFonts w:hint="eastAsia" w:ascii="黑体" w:hAnsi="黑体" w:eastAsia="黑体" w:cs="黑体"/>
          <w:b w:val="0"/>
          <w:bCs w:val="0"/>
          <w:color w:val="000000"/>
          <w:spacing w:val="8"/>
          <w:sz w:val="32"/>
          <w:szCs w:val="32"/>
          <w:lang w:eastAsia="zh-CN"/>
        </w:rPr>
      </w:pPr>
      <w:r>
        <w:rPr>
          <w:rFonts w:hint="eastAsia" w:ascii="黑体" w:hAnsi="黑体" w:eastAsia="黑体" w:cs="黑体"/>
          <w:b w:val="0"/>
          <w:bCs w:val="0"/>
          <w:color w:val="000000"/>
          <w:spacing w:val="8"/>
          <w:sz w:val="32"/>
          <w:szCs w:val="32"/>
          <w:lang w:eastAsia="zh-CN"/>
        </w:rPr>
        <w:t>三、下一步打算</w:t>
      </w:r>
    </w:p>
    <w:p w14:paraId="20939339">
      <w:pPr>
        <w:pStyle w:val="2"/>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val="0"/>
          <w:color w:val="auto"/>
          <w:spacing w:val="0"/>
          <w:sz w:val="32"/>
          <w:szCs w:val="32"/>
          <w:u w:val="none" w:color="auto"/>
          <w:lang w:val="en-US" w:eastAsia="zh-CN"/>
        </w:rPr>
      </w:pPr>
      <w:r>
        <w:rPr>
          <w:rFonts w:hint="eastAsia" w:ascii="仿宋_GB2312" w:hAnsi="仿宋_GB2312" w:eastAsia="仿宋_GB2312" w:cs="仿宋_GB2312"/>
          <w:b w:val="0"/>
          <w:bCs w:val="0"/>
          <w:color w:val="auto"/>
          <w:spacing w:val="0"/>
          <w:sz w:val="32"/>
          <w:szCs w:val="32"/>
          <w:u w:val="none" w:color="auto"/>
          <w:lang w:val="en-US" w:eastAsia="zh-CN"/>
        </w:rPr>
        <w:t>市驻京联络处将坚持以习近平新时代中国特色社会主义思想为指导，全面贯彻落实党的二十大和二十届三中、四中全会精神，深入贯彻落实习近平总书记对广东系列重要讲话重要指示精神，认真落实市委、市政府工作部署，持续巩固拓展巡察整改成效，切实把整改成果转化为推动驻京工作高质量发展的强大动力，努力为清远经济社会发展作出积极贡献。</w:t>
      </w:r>
    </w:p>
    <w:p w14:paraId="0DAF4319">
      <w:pPr>
        <w:pStyle w:val="2"/>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val="0"/>
          <w:color w:val="auto"/>
          <w:spacing w:val="0"/>
          <w:sz w:val="32"/>
          <w:szCs w:val="32"/>
          <w:u w:val="none" w:color="auto"/>
          <w:lang w:val="en-US" w:eastAsia="zh-CN"/>
        </w:rPr>
      </w:pPr>
      <w:r>
        <w:rPr>
          <w:rFonts w:hint="eastAsia" w:ascii="楷体_GB2312" w:hAnsi="楷体_GB2312" w:eastAsia="楷体_GB2312" w:cs="楷体_GB2312"/>
          <w:b w:val="0"/>
          <w:bCs w:val="0"/>
          <w:color w:val="auto"/>
          <w:spacing w:val="0"/>
          <w:sz w:val="32"/>
          <w:szCs w:val="32"/>
          <w:u w:val="none"/>
          <w:lang w:val="en-US" w:eastAsia="zh-CN"/>
        </w:rPr>
        <w:t>（一）强化思想引领，筑牢政治忠诚根基。</w:t>
      </w:r>
      <w:r>
        <w:rPr>
          <w:rFonts w:hint="eastAsia" w:ascii="仿宋_GB2312" w:hAnsi="仿宋_GB2312" w:eastAsia="仿宋_GB2312" w:cs="仿宋_GB2312"/>
          <w:b w:val="0"/>
          <w:bCs w:val="0"/>
          <w:color w:val="auto"/>
          <w:spacing w:val="0"/>
          <w:sz w:val="32"/>
          <w:szCs w:val="32"/>
          <w:u w:val="none" w:color="auto"/>
          <w:lang w:val="en-US" w:eastAsia="zh-CN"/>
        </w:rPr>
        <w:t>坚持把学习贯彻习近平新时代中国特色社会主义思想作为首要政治任务，严格落实“第一议题”制度，推动理论学习与驻京业务深度融合，切实将学习成效转化为服务清远发展的实效。</w:t>
      </w:r>
    </w:p>
    <w:p w14:paraId="06AB6601">
      <w:pPr>
        <w:pStyle w:val="2"/>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val="0"/>
          <w:color w:val="auto"/>
          <w:spacing w:val="0"/>
          <w:sz w:val="32"/>
          <w:szCs w:val="32"/>
          <w:u w:val="none" w:color="auto"/>
          <w:lang w:val="en-US" w:eastAsia="zh-CN"/>
        </w:rPr>
      </w:pPr>
      <w:r>
        <w:rPr>
          <w:rFonts w:hint="eastAsia" w:ascii="楷体_GB2312" w:hAnsi="楷体_GB2312" w:eastAsia="楷体_GB2312" w:cs="楷体_GB2312"/>
          <w:b w:val="0"/>
          <w:bCs w:val="0"/>
          <w:color w:val="auto"/>
          <w:spacing w:val="0"/>
          <w:sz w:val="32"/>
          <w:szCs w:val="32"/>
          <w:u w:val="none"/>
          <w:lang w:val="en-US" w:eastAsia="zh-CN"/>
        </w:rPr>
        <w:t>（二）健全制度体系，扎紧规范管理笼子。</w:t>
      </w:r>
      <w:r>
        <w:rPr>
          <w:rFonts w:hint="eastAsia" w:ascii="仿宋_GB2312" w:hAnsi="仿宋_GB2312" w:eastAsia="仿宋_GB2312" w:cs="仿宋_GB2312"/>
          <w:b w:val="0"/>
          <w:bCs w:val="0"/>
          <w:color w:val="auto"/>
          <w:spacing w:val="0"/>
          <w:sz w:val="32"/>
          <w:szCs w:val="32"/>
          <w:u w:val="none" w:color="auto"/>
          <w:lang w:val="en-US" w:eastAsia="zh-CN"/>
        </w:rPr>
        <w:t>以巡察整改为契机，聚焦重点领域补齐制度短板，构建“覆盖全面、衔接紧密”的制度体系。对已完成整改事项开展“回头看”，防止反弹；对长期整改任务，动态更新完善单位制度，扎紧织密廉政风险防控网。</w:t>
      </w:r>
    </w:p>
    <w:p w14:paraId="7509756F">
      <w:pPr>
        <w:pStyle w:val="2"/>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val="0"/>
          <w:color w:val="auto"/>
          <w:spacing w:val="0"/>
          <w:sz w:val="32"/>
          <w:szCs w:val="32"/>
          <w:u w:val="none" w:color="auto"/>
          <w:lang w:val="en-US" w:eastAsia="zh-CN"/>
        </w:rPr>
      </w:pPr>
      <w:r>
        <w:rPr>
          <w:rFonts w:hint="eastAsia" w:ascii="楷体_GB2312" w:hAnsi="楷体_GB2312" w:eastAsia="楷体_GB2312" w:cs="楷体_GB2312"/>
          <w:b w:val="0"/>
          <w:bCs w:val="0"/>
          <w:color w:val="auto"/>
          <w:spacing w:val="0"/>
          <w:sz w:val="32"/>
          <w:szCs w:val="32"/>
          <w:u w:val="none"/>
          <w:lang w:val="en-US" w:eastAsia="zh-CN"/>
        </w:rPr>
        <w:t>（三）攻坚重点任务，提升履职效能。</w:t>
      </w:r>
      <w:r>
        <w:rPr>
          <w:rFonts w:hint="eastAsia" w:ascii="仿宋_GB2312" w:hAnsi="仿宋_GB2312" w:eastAsia="仿宋_GB2312" w:cs="仿宋_GB2312"/>
          <w:b w:val="0"/>
          <w:bCs w:val="0"/>
          <w:color w:val="auto"/>
          <w:spacing w:val="0"/>
          <w:sz w:val="32"/>
          <w:szCs w:val="32"/>
          <w:u w:val="none" w:color="auto"/>
          <w:lang w:val="en-US" w:eastAsia="zh-CN"/>
        </w:rPr>
        <w:t>一是持续巩固整改成果，建立“回头看”机制，领导班子做到经常性对会议记录规范性、财务报销合规性等开展检查，防止问题反弹。二是聚焦主责主业提质，做到常态化对接国家部委、央企及北京市有关单位，加大京津冀地区招商走访力度，力争引进更多优质项目。三是完善“在京学子—乡贤—企业”联动机制，强化信息辅政功能，促进“双招双引”深度融合。</w:t>
      </w:r>
    </w:p>
    <w:p w14:paraId="3CCFF56D">
      <w:pPr>
        <w:pStyle w:val="2"/>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val="0"/>
          <w:color w:val="000000"/>
          <w:spacing w:val="8"/>
          <w:sz w:val="32"/>
          <w:szCs w:val="32"/>
        </w:rPr>
      </w:pPr>
      <w:r>
        <w:rPr>
          <w:rFonts w:hint="eastAsia" w:ascii="楷体_GB2312" w:hAnsi="楷体_GB2312" w:eastAsia="楷体_GB2312" w:cs="楷体_GB2312"/>
          <w:b w:val="0"/>
          <w:bCs w:val="0"/>
          <w:color w:val="auto"/>
          <w:spacing w:val="0"/>
          <w:sz w:val="32"/>
          <w:szCs w:val="32"/>
          <w:u w:val="none"/>
          <w:lang w:val="en-US" w:eastAsia="zh-CN"/>
        </w:rPr>
        <w:t>（四）严管厚爱结合，建强干部队伍。</w:t>
      </w:r>
      <w:r>
        <w:rPr>
          <w:rFonts w:hint="eastAsia" w:ascii="仿宋_GB2312" w:hAnsi="仿宋_GB2312" w:eastAsia="仿宋_GB2312" w:cs="仿宋_GB2312"/>
          <w:b w:val="0"/>
          <w:bCs w:val="0"/>
          <w:color w:val="auto"/>
          <w:spacing w:val="0"/>
          <w:sz w:val="32"/>
          <w:szCs w:val="32"/>
          <w:u w:val="none" w:color="auto"/>
          <w:lang w:val="en-US" w:eastAsia="zh-CN"/>
        </w:rPr>
        <w:t>一是常态化开展干部队伍业务培训，打造一支政治过硬、本领高强的驻京干部队伍。二是加强廉政教育，针对领导干部、年轻干部、聘用人员分层施教，通过常态化、多样化、精准化教育，推动廉洁理念入脑入心，切实筑牢拒腐防变思想防线。三是关注干部成长需求，为想干事、能干事的干部提供晋升通道和发展平台，激发队伍整体活力。</w:t>
      </w:r>
    </w:p>
    <w:p w14:paraId="4A7DA396">
      <w:pPr>
        <w:keepNext w:val="0"/>
        <w:keepLines w:val="0"/>
        <w:pageBreakBefore w:val="0"/>
        <w:widowControl w:val="0"/>
        <w:kinsoku/>
        <w:wordWrap/>
        <w:overflowPunct/>
        <w:topLinePunct w:val="0"/>
        <w:autoSpaceDE/>
        <w:autoSpaceDN/>
        <w:bidi w:val="0"/>
        <w:adjustRightInd/>
        <w:snapToGrid/>
        <w:spacing w:line="580" w:lineRule="exact"/>
        <w:ind w:right="0" w:rightChars="0" w:firstLine="672" w:firstLineChars="200"/>
        <w:jc w:val="both"/>
        <w:textAlignment w:val="auto"/>
        <w:outlineLvl w:val="9"/>
        <w:rPr>
          <w:rFonts w:hint="eastAsia" w:ascii="仿宋_GB2312" w:hAnsi="仿宋_GB2312" w:eastAsia="仿宋_GB2312" w:cs="仿宋_GB2312"/>
          <w:b w:val="0"/>
          <w:bCs w:val="0"/>
          <w:color w:val="000000"/>
          <w:spacing w:val="8"/>
          <w:sz w:val="32"/>
          <w:szCs w:val="32"/>
        </w:rPr>
      </w:pPr>
      <w:r>
        <w:rPr>
          <w:rFonts w:hint="eastAsia" w:ascii="仿宋_GB2312" w:hAnsi="仿宋_GB2312" w:eastAsia="仿宋_GB2312" w:cs="仿宋_GB2312"/>
          <w:b w:val="0"/>
          <w:bCs w:val="0"/>
          <w:color w:val="000000"/>
          <w:spacing w:val="8"/>
          <w:sz w:val="32"/>
          <w:szCs w:val="32"/>
        </w:rPr>
        <w:t>欢迎广大干部群众对巡察整改落实情况进行监督。如有意见建议，请及时向我们反映。</w:t>
      </w:r>
      <w:r>
        <w:rPr>
          <w:rFonts w:hint="eastAsia" w:ascii="仿宋_GB2312" w:hAnsi="仿宋_GB2312" w:eastAsia="仿宋_GB2312" w:cs="仿宋_GB2312"/>
          <w:b w:val="0"/>
          <w:bCs w:val="0"/>
          <w:color w:val="000000"/>
          <w:spacing w:val="8"/>
          <w:sz w:val="32"/>
          <w:szCs w:val="32"/>
          <w:lang w:eastAsia="zh-CN"/>
        </w:rPr>
        <w:t>公开期限：</w:t>
      </w:r>
      <w:r>
        <w:rPr>
          <w:rFonts w:hint="eastAsia" w:ascii="仿宋_GB2312" w:hAnsi="仿宋_GB2312" w:eastAsia="仿宋_GB2312" w:cs="仿宋_GB2312"/>
          <w:b w:val="0"/>
          <w:bCs w:val="0"/>
          <w:color w:val="000000"/>
          <w:spacing w:val="8"/>
          <w:sz w:val="32"/>
          <w:szCs w:val="32"/>
          <w:lang w:val="en-US" w:eastAsia="zh-CN"/>
        </w:rPr>
        <w:t>2026</w:t>
      </w:r>
      <w:r>
        <w:rPr>
          <w:rFonts w:hint="eastAsia" w:ascii="仿宋_GB2312" w:hAnsi="仿宋_GB2312" w:eastAsia="仿宋_GB2312" w:cs="仿宋_GB2312"/>
          <w:b w:val="0"/>
          <w:bCs w:val="0"/>
          <w:color w:val="000000"/>
          <w:spacing w:val="8"/>
          <w:sz w:val="32"/>
          <w:szCs w:val="32"/>
          <w:lang w:eastAsia="zh-CN"/>
        </w:rPr>
        <w:t>年</w:t>
      </w:r>
      <w:r>
        <w:rPr>
          <w:rFonts w:hint="eastAsia" w:ascii="仿宋_GB2312" w:hAnsi="仿宋_GB2312" w:eastAsia="仿宋_GB2312" w:cs="仿宋_GB2312"/>
          <w:b w:val="0"/>
          <w:bCs w:val="0"/>
          <w:color w:val="000000"/>
          <w:spacing w:val="8"/>
          <w:sz w:val="32"/>
          <w:szCs w:val="32"/>
          <w:lang w:val="en-US" w:eastAsia="zh-CN"/>
        </w:rPr>
        <w:t>1</w:t>
      </w:r>
      <w:r>
        <w:rPr>
          <w:rFonts w:hint="eastAsia" w:ascii="仿宋_GB2312" w:hAnsi="仿宋_GB2312" w:eastAsia="仿宋_GB2312" w:cs="仿宋_GB2312"/>
          <w:b w:val="0"/>
          <w:bCs w:val="0"/>
          <w:color w:val="000000"/>
          <w:spacing w:val="8"/>
          <w:sz w:val="32"/>
          <w:szCs w:val="32"/>
          <w:lang w:eastAsia="zh-CN"/>
        </w:rPr>
        <w:t>月</w:t>
      </w:r>
      <w:r>
        <w:rPr>
          <w:rFonts w:hint="eastAsia" w:ascii="仿宋_GB2312" w:hAnsi="仿宋_GB2312" w:eastAsia="仿宋_GB2312" w:cs="仿宋_GB2312"/>
          <w:b w:val="0"/>
          <w:bCs w:val="0"/>
          <w:color w:val="000000"/>
          <w:spacing w:val="8"/>
          <w:sz w:val="32"/>
          <w:szCs w:val="32"/>
          <w:lang w:val="en-US" w:eastAsia="zh-CN"/>
        </w:rPr>
        <w:t>21</w:t>
      </w:r>
      <w:r>
        <w:rPr>
          <w:rFonts w:hint="eastAsia" w:ascii="仿宋_GB2312" w:hAnsi="仿宋_GB2312" w:eastAsia="仿宋_GB2312" w:cs="仿宋_GB2312"/>
          <w:b w:val="0"/>
          <w:bCs w:val="0"/>
          <w:color w:val="000000"/>
          <w:spacing w:val="8"/>
          <w:sz w:val="32"/>
          <w:szCs w:val="32"/>
          <w:lang w:eastAsia="zh-CN"/>
        </w:rPr>
        <w:t>日至</w:t>
      </w:r>
      <w:r>
        <w:rPr>
          <w:rFonts w:hint="eastAsia" w:ascii="仿宋_GB2312" w:hAnsi="仿宋_GB2312" w:eastAsia="仿宋_GB2312" w:cs="仿宋_GB2312"/>
          <w:b w:val="0"/>
          <w:bCs w:val="0"/>
          <w:color w:val="000000"/>
          <w:spacing w:val="8"/>
          <w:sz w:val="32"/>
          <w:szCs w:val="32"/>
          <w:lang w:val="en-US" w:eastAsia="zh-CN"/>
        </w:rPr>
        <w:t>2</w:t>
      </w:r>
      <w:r>
        <w:rPr>
          <w:rFonts w:hint="eastAsia" w:ascii="仿宋_GB2312" w:hAnsi="仿宋_GB2312" w:eastAsia="仿宋_GB2312" w:cs="仿宋_GB2312"/>
          <w:b w:val="0"/>
          <w:bCs w:val="0"/>
          <w:color w:val="000000"/>
          <w:spacing w:val="8"/>
          <w:sz w:val="32"/>
          <w:szCs w:val="32"/>
          <w:lang w:eastAsia="zh-CN"/>
        </w:rPr>
        <w:t>月</w:t>
      </w:r>
      <w:r>
        <w:rPr>
          <w:rFonts w:hint="eastAsia" w:ascii="仿宋_GB2312" w:hAnsi="仿宋_GB2312" w:eastAsia="仿宋_GB2312" w:cs="仿宋_GB2312"/>
          <w:b w:val="0"/>
          <w:bCs w:val="0"/>
          <w:color w:val="000000"/>
          <w:spacing w:val="8"/>
          <w:sz w:val="32"/>
          <w:szCs w:val="32"/>
          <w:lang w:val="en-US" w:eastAsia="zh-CN"/>
        </w:rPr>
        <w:t>28</w:t>
      </w:r>
      <w:r>
        <w:rPr>
          <w:rFonts w:hint="eastAsia" w:ascii="仿宋_GB2312" w:hAnsi="仿宋_GB2312" w:eastAsia="仿宋_GB2312" w:cs="仿宋_GB2312"/>
          <w:b w:val="0"/>
          <w:bCs w:val="0"/>
          <w:color w:val="000000"/>
          <w:spacing w:val="8"/>
          <w:sz w:val="32"/>
          <w:szCs w:val="32"/>
          <w:lang w:eastAsia="zh-CN"/>
        </w:rPr>
        <w:t>日。</w:t>
      </w:r>
      <w:r>
        <w:rPr>
          <w:rFonts w:hint="eastAsia" w:ascii="仿宋_GB2312" w:hAnsi="仿宋_GB2312" w:eastAsia="仿宋_GB2312" w:cs="仿宋_GB2312"/>
          <w:b w:val="0"/>
          <w:bCs w:val="0"/>
          <w:color w:val="000000"/>
          <w:spacing w:val="8"/>
          <w:sz w:val="32"/>
          <w:szCs w:val="32"/>
        </w:rPr>
        <w:t>联系方式：电话</w:t>
      </w:r>
      <w:r>
        <w:rPr>
          <w:rFonts w:hint="eastAsia" w:ascii="仿宋_GB2312" w:hAnsi="仿宋_GB2312" w:cs="仿宋_GB2312"/>
          <w:b w:val="0"/>
          <w:bCs w:val="0"/>
          <w:color w:val="000000"/>
          <w:spacing w:val="8"/>
          <w:sz w:val="32"/>
          <w:szCs w:val="32"/>
          <w:lang w:val="en-US" w:eastAsia="zh-CN"/>
        </w:rPr>
        <w:t>0763-</w:t>
      </w:r>
      <w:r>
        <w:rPr>
          <w:rFonts w:hint="eastAsia" w:ascii="仿宋_GB2312" w:hAnsi="仿宋_GB2312" w:eastAsia="仿宋_GB2312" w:cs="仿宋_GB2312"/>
          <w:b w:val="0"/>
          <w:bCs w:val="0"/>
          <w:color w:val="000000"/>
          <w:spacing w:val="8"/>
          <w:sz w:val="32"/>
          <w:szCs w:val="32"/>
          <w:lang w:val="en-US" w:eastAsia="zh-CN"/>
        </w:rPr>
        <w:t>3360359</w:t>
      </w:r>
      <w:r>
        <w:rPr>
          <w:rFonts w:hint="eastAsia" w:ascii="仿宋_GB2312" w:hAnsi="仿宋_GB2312" w:eastAsia="仿宋_GB2312" w:cs="仿宋_GB2312"/>
          <w:b w:val="0"/>
          <w:bCs w:val="0"/>
          <w:color w:val="000000"/>
          <w:spacing w:val="8"/>
          <w:sz w:val="32"/>
          <w:szCs w:val="32"/>
        </w:rPr>
        <w:t>；邮政地址</w:t>
      </w:r>
      <w:r>
        <w:rPr>
          <w:rFonts w:hint="eastAsia" w:ascii="仿宋_GB2312" w:hAnsi="仿宋_GB2312" w:eastAsia="仿宋_GB2312" w:cs="仿宋_GB2312"/>
          <w:b w:val="0"/>
          <w:bCs w:val="0"/>
          <w:color w:val="000000"/>
          <w:spacing w:val="8"/>
          <w:sz w:val="32"/>
          <w:szCs w:val="32"/>
          <w:lang w:eastAsia="zh-CN"/>
        </w:rPr>
        <w:t>：</w:t>
      </w:r>
      <w:r>
        <w:rPr>
          <w:rFonts w:hint="eastAsia" w:ascii="仿宋_GB2312" w:hAnsi="仿宋_GB2312" w:eastAsia="仿宋_GB2312" w:cs="仿宋_GB2312"/>
          <w:b w:val="0"/>
          <w:bCs w:val="0"/>
          <w:color w:val="000000"/>
          <w:spacing w:val="8"/>
          <w:sz w:val="32"/>
          <w:szCs w:val="32"/>
        </w:rPr>
        <w:t>清远市清城区人民二路机关办公大楼</w:t>
      </w:r>
      <w:r>
        <w:rPr>
          <w:rFonts w:hint="eastAsia" w:ascii="仿宋_GB2312" w:hAnsi="仿宋_GB2312" w:eastAsia="仿宋_GB2312" w:cs="仿宋_GB2312"/>
          <w:b w:val="0"/>
          <w:bCs w:val="0"/>
          <w:color w:val="000000"/>
          <w:spacing w:val="8"/>
          <w:sz w:val="32"/>
          <w:szCs w:val="32"/>
          <w:lang w:val="en-US" w:eastAsia="zh-CN"/>
        </w:rPr>
        <w:t>5</w:t>
      </w:r>
      <w:r>
        <w:rPr>
          <w:rFonts w:hint="eastAsia" w:ascii="仿宋_GB2312" w:hAnsi="仿宋_GB2312" w:eastAsia="仿宋_GB2312" w:cs="仿宋_GB2312"/>
          <w:b w:val="0"/>
          <w:bCs w:val="0"/>
          <w:color w:val="000000"/>
          <w:spacing w:val="8"/>
          <w:sz w:val="32"/>
          <w:szCs w:val="32"/>
        </w:rPr>
        <w:t>号楼</w:t>
      </w:r>
      <w:r>
        <w:rPr>
          <w:rFonts w:hint="eastAsia" w:ascii="仿宋_GB2312" w:hAnsi="仿宋_GB2312" w:eastAsia="仿宋_GB2312" w:cs="仿宋_GB2312"/>
          <w:b w:val="0"/>
          <w:bCs w:val="0"/>
          <w:color w:val="000000"/>
          <w:spacing w:val="8"/>
          <w:sz w:val="32"/>
          <w:szCs w:val="32"/>
          <w:lang w:val="en-US" w:eastAsia="zh-CN"/>
        </w:rPr>
        <w:t>603</w:t>
      </w:r>
      <w:r>
        <w:rPr>
          <w:rFonts w:hint="eastAsia" w:ascii="仿宋_GB2312" w:hAnsi="仿宋_GB2312" w:eastAsia="仿宋_GB2312" w:cs="仿宋_GB2312"/>
          <w:b w:val="0"/>
          <w:bCs w:val="0"/>
          <w:color w:val="000000"/>
          <w:spacing w:val="8"/>
          <w:sz w:val="32"/>
          <w:szCs w:val="32"/>
        </w:rPr>
        <w:t>室</w:t>
      </w:r>
      <w:r>
        <w:rPr>
          <w:rFonts w:hint="eastAsia" w:ascii="仿宋_GB2312" w:hAnsi="仿宋_GB2312" w:eastAsia="仿宋_GB2312" w:cs="仿宋_GB2312"/>
          <w:b w:val="0"/>
          <w:bCs w:val="0"/>
          <w:color w:val="000000"/>
          <w:spacing w:val="8"/>
          <w:sz w:val="32"/>
          <w:szCs w:val="32"/>
          <w:lang w:eastAsia="zh-CN"/>
        </w:rPr>
        <w:t>，</w:t>
      </w:r>
      <w:r>
        <w:rPr>
          <w:rFonts w:hint="eastAsia" w:ascii="仿宋_GB2312" w:hAnsi="仿宋_GB2312" w:eastAsia="仿宋_GB2312" w:cs="仿宋_GB2312"/>
          <w:b w:val="0"/>
          <w:bCs w:val="0"/>
          <w:color w:val="000000"/>
          <w:spacing w:val="8"/>
          <w:sz w:val="32"/>
          <w:szCs w:val="32"/>
        </w:rPr>
        <w:t>邮政编码511500。</w:t>
      </w:r>
    </w:p>
    <w:p w14:paraId="4C2FEBA5">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72" w:firstLineChars="200"/>
        <w:jc w:val="both"/>
        <w:textAlignment w:val="auto"/>
        <w:outlineLvl w:val="9"/>
        <w:rPr>
          <w:rFonts w:hint="eastAsia" w:ascii="仿宋_GB2312" w:hAnsi="仿宋_GB2312" w:eastAsia="仿宋_GB2312" w:cs="仿宋_GB2312"/>
          <w:b w:val="0"/>
          <w:bCs w:val="0"/>
          <w:color w:val="000000"/>
          <w:spacing w:val="8"/>
          <w:sz w:val="32"/>
          <w:szCs w:val="32"/>
        </w:rPr>
      </w:pPr>
    </w:p>
    <w:p w14:paraId="07FFAC94">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3" w:firstLineChars="200"/>
        <w:jc w:val="left"/>
        <w:textAlignment w:val="auto"/>
        <w:outlineLvl w:val="9"/>
        <w:rPr>
          <w:rFonts w:hint="eastAsia" w:ascii="仿宋_GB2312" w:hAnsi="仿宋_GB2312" w:eastAsia="仿宋_GB2312" w:cs="仿宋_GB2312"/>
          <w:b/>
          <w:bCs/>
          <w:kern w:val="2"/>
          <w:sz w:val="32"/>
          <w:szCs w:val="32"/>
          <w:lang w:val="en-US" w:eastAsia="zh-CN"/>
        </w:rPr>
      </w:pPr>
    </w:p>
    <w:p w14:paraId="3F1CED32">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3" w:firstLineChars="200"/>
        <w:jc w:val="left"/>
        <w:textAlignment w:val="auto"/>
        <w:outlineLvl w:val="9"/>
        <w:rPr>
          <w:rFonts w:hint="eastAsia" w:ascii="仿宋_GB2312" w:hAnsi="仿宋_GB2312" w:eastAsia="仿宋_GB2312" w:cs="仿宋_GB2312"/>
          <w:b w:val="0"/>
          <w:bCs w:val="0"/>
          <w:color w:val="000000"/>
          <w:spacing w:val="8"/>
          <w:sz w:val="32"/>
          <w:szCs w:val="32"/>
          <w:lang w:eastAsia="zh-CN"/>
        </w:rPr>
      </w:pPr>
      <w:r>
        <w:rPr>
          <w:rFonts w:hint="eastAsia" w:ascii="仿宋_GB2312" w:hAnsi="仿宋_GB2312" w:eastAsia="仿宋_GB2312" w:cs="仿宋_GB2312"/>
          <w:b/>
          <w:bCs/>
          <w:kern w:val="2"/>
          <w:sz w:val="32"/>
          <w:szCs w:val="32"/>
          <w:lang w:val="en-US" w:eastAsia="zh-CN"/>
        </w:rPr>
        <w:t xml:space="preserve">    </w:t>
      </w:r>
      <w:bookmarkStart w:id="1" w:name="_GoBack"/>
      <w:bookmarkEnd w:id="1"/>
      <w:r>
        <w:rPr>
          <w:rFonts w:hint="eastAsia" w:ascii="仿宋_GB2312" w:hAnsi="仿宋_GB2312" w:eastAsia="仿宋_GB2312" w:cs="仿宋_GB2312"/>
          <w:b/>
          <w:bCs/>
          <w:kern w:val="2"/>
          <w:sz w:val="32"/>
          <w:szCs w:val="32"/>
          <w:lang w:val="en-US" w:eastAsia="zh-CN"/>
        </w:rPr>
        <w:t xml:space="preserve">       </w:t>
      </w:r>
      <w:r>
        <w:rPr>
          <w:rFonts w:hint="eastAsia" w:ascii="仿宋_GB2312" w:hAnsi="仿宋_GB2312" w:cs="仿宋_GB2312"/>
          <w:b/>
          <w:bCs/>
          <w:kern w:val="2"/>
          <w:sz w:val="32"/>
          <w:szCs w:val="32"/>
          <w:lang w:val="en-US" w:eastAsia="zh-CN"/>
        </w:rPr>
        <w:t xml:space="preserve">  </w:t>
      </w:r>
      <w:r>
        <w:rPr>
          <w:rFonts w:hint="eastAsia" w:ascii="仿宋_GB2312" w:hAnsi="仿宋_GB2312" w:eastAsia="仿宋_GB2312" w:cs="仿宋_GB2312"/>
          <w:b/>
          <w:bCs/>
          <w:kern w:val="2"/>
          <w:sz w:val="32"/>
          <w:szCs w:val="32"/>
          <w:lang w:val="en-US" w:eastAsia="zh-CN"/>
        </w:rPr>
        <w:t xml:space="preserve"> </w:t>
      </w:r>
      <w:r>
        <w:rPr>
          <w:rFonts w:hint="eastAsia" w:ascii="仿宋_GB2312" w:hAnsi="仿宋_GB2312" w:eastAsia="仿宋_GB2312" w:cs="仿宋_GB2312"/>
          <w:b w:val="0"/>
          <w:bCs w:val="0"/>
          <w:color w:val="000000"/>
          <w:spacing w:val="8"/>
          <w:sz w:val="32"/>
          <w:szCs w:val="32"/>
          <w:lang w:eastAsia="zh-CN"/>
        </w:rPr>
        <w:t>清远市人民政府驻北京联络处</w:t>
      </w:r>
    </w:p>
    <w:p w14:paraId="2C6BF10B">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72" w:firstLineChars="200"/>
        <w:jc w:val="left"/>
        <w:textAlignment w:val="auto"/>
        <w:outlineLvl w:val="9"/>
        <w:rPr>
          <w:rFonts w:hint="eastAsia" w:ascii="方正仿宋_GB2312" w:hAnsi="方正仿宋_GB2312" w:eastAsia="方正仿宋_GB2312" w:cs="方正仿宋_GB2312"/>
          <w:lang w:val="en-US" w:eastAsia="zh-CN"/>
        </w:rPr>
      </w:pPr>
      <w:r>
        <w:rPr>
          <w:rFonts w:hint="eastAsia" w:ascii="仿宋_GB2312" w:hAnsi="仿宋_GB2312" w:eastAsia="仿宋_GB2312" w:cs="仿宋_GB2312"/>
          <w:b w:val="0"/>
          <w:bCs w:val="0"/>
          <w:color w:val="000000"/>
          <w:spacing w:val="8"/>
          <w:sz w:val="32"/>
          <w:szCs w:val="32"/>
        </w:rPr>
        <w:t xml:space="preserve">                </w:t>
      </w:r>
      <w:r>
        <w:rPr>
          <w:rFonts w:hint="eastAsia" w:ascii="仿宋_GB2312" w:hAnsi="仿宋_GB2312" w:cs="仿宋_GB2312"/>
          <w:b w:val="0"/>
          <w:bCs w:val="0"/>
          <w:color w:val="000000"/>
          <w:spacing w:val="8"/>
          <w:sz w:val="32"/>
          <w:szCs w:val="32"/>
          <w:lang w:val="en-US" w:eastAsia="zh-CN"/>
        </w:rPr>
        <w:t xml:space="preserve"> </w:t>
      </w:r>
      <w:r>
        <w:rPr>
          <w:rFonts w:hint="eastAsia" w:ascii="仿宋_GB2312" w:hAnsi="仿宋_GB2312" w:eastAsia="仿宋_GB2312" w:cs="仿宋_GB2312"/>
          <w:b w:val="0"/>
          <w:bCs w:val="0"/>
          <w:color w:val="000000"/>
          <w:spacing w:val="8"/>
          <w:sz w:val="32"/>
          <w:szCs w:val="32"/>
        </w:rPr>
        <w:t xml:space="preserve"> </w:t>
      </w:r>
      <w:r>
        <w:rPr>
          <w:rFonts w:hint="eastAsia" w:ascii="仿宋_GB2312" w:hAnsi="仿宋_GB2312" w:eastAsia="仿宋_GB2312" w:cs="仿宋_GB2312"/>
          <w:b w:val="0"/>
          <w:bCs w:val="0"/>
          <w:color w:val="000000"/>
          <w:spacing w:val="8"/>
          <w:sz w:val="32"/>
          <w:szCs w:val="32"/>
          <w:lang w:val="en-US" w:eastAsia="zh-CN"/>
        </w:rPr>
        <w:t>2026</w:t>
      </w:r>
      <w:r>
        <w:rPr>
          <w:rFonts w:hint="eastAsia" w:ascii="仿宋_GB2312" w:hAnsi="仿宋_GB2312" w:eastAsia="仿宋_GB2312" w:cs="仿宋_GB2312"/>
          <w:b w:val="0"/>
          <w:bCs w:val="0"/>
          <w:color w:val="000000"/>
          <w:spacing w:val="8"/>
          <w:sz w:val="32"/>
          <w:szCs w:val="32"/>
        </w:rPr>
        <w:t>年</w:t>
      </w:r>
      <w:r>
        <w:rPr>
          <w:rFonts w:hint="eastAsia" w:ascii="仿宋_GB2312" w:hAnsi="仿宋_GB2312" w:eastAsia="仿宋_GB2312" w:cs="仿宋_GB2312"/>
          <w:b w:val="0"/>
          <w:bCs w:val="0"/>
          <w:color w:val="000000"/>
          <w:spacing w:val="8"/>
          <w:sz w:val="32"/>
          <w:szCs w:val="32"/>
          <w:lang w:val="en-US" w:eastAsia="zh-CN"/>
        </w:rPr>
        <w:t>1</w:t>
      </w:r>
      <w:r>
        <w:rPr>
          <w:rFonts w:hint="eastAsia" w:ascii="仿宋_GB2312" w:hAnsi="仿宋_GB2312" w:eastAsia="仿宋_GB2312" w:cs="仿宋_GB2312"/>
          <w:b w:val="0"/>
          <w:bCs w:val="0"/>
          <w:color w:val="000000"/>
          <w:spacing w:val="8"/>
          <w:sz w:val="32"/>
          <w:szCs w:val="32"/>
        </w:rPr>
        <w:t>月</w:t>
      </w:r>
      <w:r>
        <w:rPr>
          <w:rFonts w:hint="eastAsia" w:ascii="仿宋_GB2312" w:hAnsi="仿宋_GB2312" w:eastAsia="仿宋_GB2312" w:cs="仿宋_GB2312"/>
          <w:b w:val="0"/>
          <w:bCs w:val="0"/>
          <w:color w:val="000000"/>
          <w:spacing w:val="8"/>
          <w:sz w:val="32"/>
          <w:szCs w:val="32"/>
          <w:lang w:val="en-US" w:eastAsia="zh-CN"/>
        </w:rPr>
        <w:t>21</w:t>
      </w:r>
      <w:r>
        <w:rPr>
          <w:rFonts w:hint="eastAsia" w:ascii="仿宋_GB2312" w:hAnsi="仿宋_GB2312" w:eastAsia="仿宋_GB2312" w:cs="仿宋_GB2312"/>
          <w:b w:val="0"/>
          <w:bCs w:val="0"/>
          <w:color w:val="000000"/>
          <w:spacing w:val="8"/>
          <w:sz w:val="32"/>
          <w:szCs w:val="32"/>
        </w:rPr>
        <w:t>日</w:t>
      </w:r>
    </w:p>
    <w:p w14:paraId="46F48751">
      <w:pPr>
        <w:pStyle w:val="7"/>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b w:val="0"/>
          <w:bCs w:val="0"/>
          <w:color w:val="auto"/>
          <w:sz w:val="44"/>
          <w:lang w:eastAsia="zh-CN"/>
        </w:rPr>
      </w:pPr>
    </w:p>
    <w:p w14:paraId="021D838D">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jc w:val="both"/>
        <w:textAlignment w:val="auto"/>
        <w:rPr>
          <w:rFonts w:hint="default" w:ascii="仿宋_GB2312" w:hAnsi="仿宋_GB2312" w:eastAsia="仿宋_GB2312" w:cs="仿宋_GB2312"/>
          <w:b w:val="0"/>
          <w:bCs w:val="0"/>
          <w:color w:val="000000"/>
          <w:kern w:val="2"/>
          <w:sz w:val="32"/>
          <w:szCs w:val="32"/>
          <w:highlight w:val="none"/>
          <w:lang w:val="en-US" w:eastAsia="zh-CN" w:bidi="ar-SA"/>
        </w:rPr>
      </w:pPr>
    </w:p>
    <w:p w14:paraId="7F044438"/>
    <w:sectPr>
      <w:footerReference r:id="rId5" w:type="first"/>
      <w:footerReference r:id="rId3" w:type="default"/>
      <w:footerReference r:id="rId4" w:type="even"/>
      <w:pgSz w:w="11906" w:h="16838"/>
      <w:pgMar w:top="2154" w:right="1531" w:bottom="1871" w:left="1531" w:header="851" w:footer="992" w:gutter="0"/>
      <w:pgNumType w:fmt="numberInDash"/>
      <w:cols w:space="720" w:num="1"/>
      <w:titlePg/>
      <w:docGrid w:type="line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仿宋_GB2312">
    <w:altName w:val="方正仿宋_GBK"/>
    <w:panose1 w:val="02000000000000000000"/>
    <w:charset w:val="00"/>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DE147F">
    <w:pPr>
      <w:pStyle w:val="3"/>
      <w:ind w:right="360" w:firstLine="360"/>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35D0BA0">
                          <w:pPr>
                            <w:pStyle w:val="3"/>
                            <w:rPr>
                              <w:rStyle w:val="6"/>
                              <w:rFonts w:hint="eastAsia" w:ascii="仿宋_GB2312"/>
                              <w:sz w:val="28"/>
                              <w:szCs w:val="28"/>
                            </w:rPr>
                          </w:pPr>
                          <w:r>
                            <w:rPr>
                              <w:rFonts w:hint="eastAsia" w:ascii="宋体" w:hAnsi="宋体" w:eastAsia="宋体" w:cs="宋体"/>
                              <w:sz w:val="28"/>
                              <w:szCs w:val="28"/>
                            </w:rPr>
                            <w:fldChar w:fldCharType="begin"/>
                          </w:r>
                          <w:r>
                            <w:rPr>
                              <w:rStyle w:val="6"/>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Style w:val="6"/>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335D0BA0">
                    <w:pPr>
                      <w:pStyle w:val="3"/>
                      <w:rPr>
                        <w:rStyle w:val="6"/>
                        <w:rFonts w:hint="eastAsia" w:ascii="仿宋_GB2312"/>
                        <w:sz w:val="28"/>
                        <w:szCs w:val="28"/>
                      </w:rPr>
                    </w:pPr>
                    <w:r>
                      <w:rPr>
                        <w:rFonts w:hint="eastAsia" w:ascii="宋体" w:hAnsi="宋体" w:eastAsia="宋体" w:cs="宋体"/>
                        <w:sz w:val="28"/>
                        <w:szCs w:val="28"/>
                      </w:rPr>
                      <w:fldChar w:fldCharType="begin"/>
                    </w:r>
                    <w:r>
                      <w:rPr>
                        <w:rStyle w:val="6"/>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Style w:val="6"/>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48E3F9">
    <w:pPr>
      <w:pStyle w:val="3"/>
      <w:framePr w:wrap="around" w:vAnchor="text" w:hAnchor="margin" w:xAlign="outside" w:y="1"/>
      <w:rPr>
        <w:rStyle w:val="6"/>
      </w:rPr>
    </w:pPr>
    <w:r>
      <w:fldChar w:fldCharType="begin"/>
    </w:r>
    <w:r>
      <w:rPr>
        <w:rStyle w:val="6"/>
      </w:rPr>
      <w:instrText xml:space="preserve">PAGE  </w:instrText>
    </w:r>
    <w:r>
      <w:fldChar w:fldCharType="separate"/>
    </w:r>
    <w:r>
      <w:rPr>
        <w:rStyle w:val="6"/>
      </w:rPr>
      <w:t>- 1 -</w:t>
    </w:r>
    <w:r>
      <w:fldChar w:fldCharType="end"/>
    </w:r>
  </w:p>
  <w:p w14:paraId="1E7F226B">
    <w:pPr>
      <w:pStyle w:val="3"/>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C9D3F4">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71C789A">
                          <w:pPr>
                            <w:pStyle w:val="3"/>
                          </w:pP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- 1 -</w:t>
                          </w:r>
                          <w:r>
                            <w:rPr>
                              <w:rFonts w:hint="eastAsia" w:ascii="宋体" w:hAnsi="宋体" w:eastAsia="宋体" w:cs="宋体"/>
                              <w:sz w:val="28"/>
                              <w:szCs w:val="44"/>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path/>
              <v:fill on="f" focussize="0,0"/>
              <v:stroke on="f"/>
              <v:imagedata o:title=""/>
              <o:lock v:ext="edit" aspectratio="f"/>
              <v:textbox inset="0mm,0mm,0mm,0mm" style="mso-fit-shape-to-text:t;">
                <w:txbxContent>
                  <w:p w14:paraId="471C789A">
                    <w:pPr>
                      <w:pStyle w:val="3"/>
                    </w:pP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- 1 -</w:t>
                    </w:r>
                    <w:r>
                      <w:rPr>
                        <w:rFonts w:hint="eastAsia" w:ascii="宋体" w:hAnsi="宋体" w:eastAsia="宋体" w:cs="宋体"/>
                        <w:sz w:val="28"/>
                        <w:szCs w:val="4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8B9B08"/>
    <w:multiLevelType w:val="singleLevel"/>
    <w:tmpl w:val="BD8B9B08"/>
    <w:lvl w:ilvl="0" w:tentative="0">
      <w:start w:val="1"/>
      <w:numFmt w:val="chineseCounting"/>
      <w:suff w:val="nothing"/>
      <w:lvlText w:val="（%1）"/>
      <w:lvlJc w:val="left"/>
      <w:rPr>
        <w:rFonts w:hint="eastAsia" w:ascii="楷体_GB2312" w:hAnsi="楷体_GB2312" w:eastAsia="楷体_GB2312" w:cs="楷体_GB231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A160DC"/>
    <w:rsid w:val="1CA160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3">
    <w:name w:val="footer"/>
    <w:basedOn w:val="1"/>
    <w:qFormat/>
    <w:uiPriority w:val="0"/>
    <w:pPr>
      <w:tabs>
        <w:tab w:val="center" w:pos="4153"/>
        <w:tab w:val="right" w:pos="8306"/>
      </w:tabs>
      <w:snapToGrid w:val="0"/>
      <w:jc w:val="left"/>
    </w:pPr>
    <w:rPr>
      <w:sz w:val="18"/>
    </w:rPr>
  </w:style>
  <w:style w:type="character" w:styleId="6">
    <w:name w:val="page number"/>
    <w:basedOn w:val="5"/>
    <w:uiPriority w:val="0"/>
  </w:style>
  <w:style w:type="paragraph" w:customStyle="1" w:styleId="7">
    <w:name w:val="正文 New New New"/>
    <w:qFormat/>
    <w:uiPriority w:val="0"/>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2026-04-21T02:05:00Z</dcterms:created>
  <dc:creator>ൠEireneྉൠ</dc:creator>
  <cp:lastModifiedBy>ൠEireneྉൠ</cp:lastModifiedBy>
  <dcterms:modified xsi:type="dcterms:W3CDTF">2026-04-21T02:05:52Z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EA7359F4DBCB4610B2095FC34B257CBC_11</vt:lpwstr>
  </property>
  <property fmtid="{D5CDD505-2E9C-101B-9397-08002B2CF9AE}" pid="4" name="KSOTemplateDocerSaveRecord">
    <vt:lpwstr>eyJoZGlkIjoiMzVjMDQzMjI4ZDVkMGE1Y2RmZGIyMDRhYmQxODk4MWEiLCJ1c2VySWQiOiI2Mjc1MDg3MTUifQ==</vt:lpwstr>
  </property>
</Properties>
</file>